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5FE9E" w14:textId="77777777" w:rsidR="00521A63" w:rsidRPr="00720AD5" w:rsidRDefault="00521A63" w:rsidP="00521A63">
      <w:pPr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</w:rPr>
      </w:pPr>
      <w:r w:rsidRPr="00720AD5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6A4E4B6D" wp14:editId="58B0904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 descr="Obraz zawierający Grafika, Czcionka, projekt graficzny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Grafika, Czcionka, projekt graficzny, desig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0AD5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14:paraId="4FA5EAFC" w14:textId="77777777" w:rsidR="00521A63" w:rsidRPr="00720AD5" w:rsidRDefault="00521A63" w:rsidP="00521A63">
      <w:pPr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  <w:lang w:val="en-US"/>
        </w:rPr>
      </w:pPr>
      <w:r w:rsidRPr="00720AD5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</w:rPr>
        <w:t xml:space="preserve">              </w:t>
      </w:r>
      <w:r w:rsidRPr="00720AD5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2B349B7E" w14:textId="77777777" w:rsidR="00521A63" w:rsidRPr="00720AD5" w:rsidRDefault="00521A63" w:rsidP="00521A63">
      <w:pPr>
        <w:spacing w:after="0" w:line="240" w:lineRule="auto"/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</w:pPr>
    </w:p>
    <w:p w14:paraId="1C3DF15D" w14:textId="77777777" w:rsidR="00521A63" w:rsidRPr="00720AD5" w:rsidRDefault="00521A63" w:rsidP="00521A63">
      <w:pPr>
        <w:spacing w:after="0" w:line="240" w:lineRule="auto"/>
        <w:jc w:val="center"/>
        <w:rPr>
          <w:rFonts w:asciiTheme="minorHAnsi" w:hAnsiTheme="minorHAnsi" w:cstheme="minorHAnsi"/>
          <w:b/>
          <w:noProof w:val="0"/>
          <w:sz w:val="28"/>
          <w:szCs w:val="28"/>
        </w:rPr>
      </w:pPr>
      <w:r w:rsidRPr="00720AD5">
        <w:rPr>
          <w:rFonts w:asciiTheme="minorHAnsi" w:hAnsiTheme="minorHAnsi" w:cstheme="minorHAnsi"/>
          <w:b/>
          <w:noProof w:val="0"/>
          <w:sz w:val="28"/>
          <w:szCs w:val="28"/>
        </w:rPr>
        <w:t>W Y K A Z</w:t>
      </w:r>
    </w:p>
    <w:p w14:paraId="0F61464B" w14:textId="77777777" w:rsidR="00521A63" w:rsidRPr="00720AD5" w:rsidRDefault="00521A63" w:rsidP="00521A63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28"/>
          <w:szCs w:val="28"/>
        </w:rPr>
      </w:pPr>
    </w:p>
    <w:p w14:paraId="1F9F8456" w14:textId="2CD4ADD9" w:rsidR="00521A63" w:rsidRPr="00720AD5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20AD5">
        <w:rPr>
          <w:rFonts w:asciiTheme="minorHAnsi" w:hAnsiTheme="minorHAnsi" w:cstheme="minorHAnsi"/>
          <w:noProof w:val="0"/>
          <w:sz w:val="28"/>
          <w:szCs w:val="28"/>
        </w:rPr>
        <w:t xml:space="preserve">Na podstawie art. 35 ust. 1 i 2 ustawy z dnia 21 sierpnia 1997 r. </w:t>
      </w:r>
      <w:r>
        <w:rPr>
          <w:rFonts w:asciiTheme="minorHAnsi" w:hAnsiTheme="minorHAnsi" w:cstheme="minorHAnsi"/>
          <w:noProof w:val="0"/>
          <w:sz w:val="28"/>
          <w:szCs w:val="28"/>
        </w:rPr>
        <w:br/>
      </w:r>
      <w:r w:rsidRPr="00720AD5">
        <w:rPr>
          <w:rFonts w:asciiTheme="minorHAnsi" w:hAnsiTheme="minorHAnsi" w:cstheme="minorHAnsi"/>
          <w:noProof w:val="0"/>
          <w:sz w:val="28"/>
          <w:szCs w:val="28"/>
        </w:rPr>
        <w:t>o gospodarce nieruchomościami (</w:t>
      </w:r>
      <w:proofErr w:type="spellStart"/>
      <w:r>
        <w:rPr>
          <w:rFonts w:asciiTheme="minorHAnsi" w:hAnsiTheme="minorHAnsi" w:cstheme="minorHAnsi"/>
          <w:noProof w:val="0"/>
          <w:sz w:val="28"/>
          <w:szCs w:val="28"/>
        </w:rPr>
        <w:t>t.j</w:t>
      </w:r>
      <w:proofErr w:type="spellEnd"/>
      <w:r>
        <w:rPr>
          <w:rFonts w:asciiTheme="minorHAnsi" w:hAnsiTheme="minorHAnsi" w:cstheme="minorHAnsi"/>
          <w:noProof w:val="0"/>
          <w:sz w:val="28"/>
          <w:szCs w:val="28"/>
        </w:rPr>
        <w:t xml:space="preserve">. </w:t>
      </w:r>
      <w:r w:rsidRPr="00720AD5">
        <w:rPr>
          <w:rFonts w:asciiTheme="minorHAnsi" w:hAnsiTheme="minorHAnsi" w:cstheme="minorHAnsi"/>
          <w:noProof w:val="0"/>
          <w:sz w:val="28"/>
          <w:szCs w:val="28"/>
        </w:rPr>
        <w:t>Dz. U. z 20</w:t>
      </w:r>
      <w:r>
        <w:rPr>
          <w:rFonts w:asciiTheme="minorHAnsi" w:hAnsiTheme="minorHAnsi" w:cstheme="minorHAnsi"/>
          <w:noProof w:val="0"/>
          <w:sz w:val="28"/>
          <w:szCs w:val="28"/>
        </w:rPr>
        <w:t>23</w:t>
      </w:r>
      <w:r w:rsidRPr="00720AD5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>
        <w:rPr>
          <w:rFonts w:asciiTheme="minorHAnsi" w:hAnsiTheme="minorHAnsi" w:cstheme="minorHAnsi"/>
          <w:noProof w:val="0"/>
          <w:sz w:val="28"/>
          <w:szCs w:val="28"/>
        </w:rPr>
        <w:t>344</w:t>
      </w:r>
      <w:r w:rsidRPr="00720AD5">
        <w:rPr>
          <w:rFonts w:asciiTheme="minorHAnsi" w:hAnsiTheme="minorHAnsi" w:cstheme="minorHAnsi"/>
          <w:noProof w:val="0"/>
          <w:sz w:val="28"/>
          <w:szCs w:val="28"/>
        </w:rPr>
        <w:t xml:space="preserve"> ze zm.).</w:t>
      </w:r>
    </w:p>
    <w:p w14:paraId="45A4A086" w14:textId="77777777" w:rsidR="00521A63" w:rsidRPr="00720AD5" w:rsidRDefault="00521A63" w:rsidP="00521A63">
      <w:pPr>
        <w:tabs>
          <w:tab w:val="left" w:pos="6300"/>
        </w:tabs>
        <w:spacing w:after="0" w:line="360" w:lineRule="exact"/>
        <w:jc w:val="center"/>
        <w:rPr>
          <w:rFonts w:asciiTheme="minorHAnsi" w:hAnsiTheme="minorHAnsi" w:cstheme="minorHAnsi"/>
          <w:b/>
          <w:noProof w:val="0"/>
          <w:sz w:val="28"/>
          <w:szCs w:val="28"/>
        </w:rPr>
      </w:pPr>
      <w:r w:rsidRPr="00720AD5">
        <w:rPr>
          <w:rFonts w:asciiTheme="minorHAnsi" w:hAnsiTheme="minorHAnsi" w:cstheme="minorHAnsi"/>
          <w:b/>
          <w:noProof w:val="0"/>
          <w:sz w:val="28"/>
          <w:szCs w:val="28"/>
        </w:rPr>
        <w:t>B U R M I S T R Z     Ś R E M U</w:t>
      </w:r>
    </w:p>
    <w:p w14:paraId="57AF00E1" w14:textId="77777777" w:rsidR="00521A63" w:rsidRPr="00720AD5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noProof w:val="0"/>
          <w:color w:val="000000" w:themeColor="text1"/>
          <w:sz w:val="28"/>
          <w:szCs w:val="28"/>
        </w:rPr>
      </w:pPr>
      <w:r w:rsidRPr="00720AD5">
        <w:rPr>
          <w:rFonts w:asciiTheme="minorHAnsi" w:hAnsiTheme="minorHAnsi" w:cstheme="minorHAnsi"/>
          <w:noProof w:val="0"/>
          <w:sz w:val="28"/>
          <w:szCs w:val="28"/>
        </w:rPr>
        <w:t xml:space="preserve">informuje, że przeznaczona została </w:t>
      </w:r>
      <w:r w:rsidRPr="00720AD5">
        <w:rPr>
          <w:rFonts w:asciiTheme="minorHAnsi" w:hAnsiTheme="minorHAnsi" w:cstheme="minorHAnsi"/>
          <w:color w:val="333333"/>
          <w:sz w:val="28"/>
          <w:szCs w:val="28"/>
        </w:rPr>
        <w:t xml:space="preserve">do zbycia </w:t>
      </w:r>
      <w:r w:rsidRPr="00720AD5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w trybie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zamiany</w:t>
      </w:r>
      <w:r w:rsidRPr="00720AD5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gminna</w:t>
      </w:r>
      <w:r w:rsidRPr="00720AD5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720AD5">
        <w:rPr>
          <w:rFonts w:asciiTheme="minorHAnsi" w:hAnsiTheme="minorHAnsi" w:cstheme="minorHAnsi"/>
          <w:noProof w:val="0"/>
          <w:color w:val="000000" w:themeColor="text1"/>
          <w:sz w:val="28"/>
          <w:szCs w:val="28"/>
        </w:rPr>
        <w:t>nieruchomość niezabudowana, położona w Śremie przy ul</w:t>
      </w:r>
      <w:r>
        <w:rPr>
          <w:rFonts w:asciiTheme="minorHAnsi" w:hAnsiTheme="minorHAnsi" w:cstheme="minorHAnsi"/>
          <w:noProof w:val="0"/>
          <w:color w:val="000000" w:themeColor="text1"/>
          <w:sz w:val="28"/>
          <w:szCs w:val="28"/>
        </w:rPr>
        <w:t>.</w:t>
      </w:r>
      <w:r w:rsidRPr="00720AD5">
        <w:rPr>
          <w:rFonts w:asciiTheme="minorHAnsi" w:hAnsiTheme="minorHAnsi" w:cstheme="minorHAnsi"/>
          <w:noProof w:val="0"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noProof w:val="0"/>
          <w:color w:val="000000" w:themeColor="text1"/>
          <w:sz w:val="28"/>
          <w:szCs w:val="28"/>
        </w:rPr>
        <w:t>Adama Mickiewicza</w:t>
      </w:r>
      <w:r w:rsidRPr="00720AD5">
        <w:rPr>
          <w:rFonts w:asciiTheme="minorHAnsi" w:hAnsiTheme="minorHAnsi" w:cstheme="minorHAnsi"/>
          <w:noProof w:val="0"/>
          <w:color w:val="000000" w:themeColor="text1"/>
          <w:sz w:val="28"/>
          <w:szCs w:val="28"/>
        </w:rPr>
        <w:t>:</w:t>
      </w:r>
    </w:p>
    <w:p w14:paraId="6FC1AD86" w14:textId="77777777" w:rsidR="00521A63" w:rsidRPr="00720AD5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726"/>
        <w:gridCol w:w="1747"/>
        <w:gridCol w:w="2472"/>
        <w:gridCol w:w="3117"/>
      </w:tblGrid>
      <w:tr w:rsidR="00521A63" w:rsidRPr="00720AD5" w14:paraId="4D1560A0" w14:textId="77777777" w:rsidTr="00093BBC">
        <w:trPr>
          <w:trHeight w:val="618"/>
        </w:trPr>
        <w:tc>
          <w:tcPr>
            <w:tcW w:w="970" w:type="pct"/>
            <w:vAlign w:val="center"/>
          </w:tcPr>
          <w:p w14:paraId="742ADC32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numer</w:t>
            </w:r>
          </w:p>
          <w:p w14:paraId="2B4E675F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geodezyjny</w:t>
            </w:r>
          </w:p>
        </w:tc>
        <w:tc>
          <w:tcPr>
            <w:tcW w:w="912" w:type="pct"/>
            <w:vAlign w:val="center"/>
          </w:tcPr>
          <w:p w14:paraId="79E06F11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1381" w:type="pct"/>
            <w:vAlign w:val="center"/>
          </w:tcPr>
          <w:p w14:paraId="3211CAED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numer KW</w:t>
            </w:r>
          </w:p>
        </w:tc>
        <w:tc>
          <w:tcPr>
            <w:tcW w:w="1737" w:type="pct"/>
            <w:vAlign w:val="center"/>
          </w:tcPr>
          <w:p w14:paraId="6FA2A15D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cena nieruchomości /netto/</w:t>
            </w:r>
          </w:p>
        </w:tc>
      </w:tr>
      <w:tr w:rsidR="00521A63" w:rsidRPr="00720AD5" w14:paraId="2A8A3668" w14:textId="77777777" w:rsidTr="00093BBC">
        <w:trPr>
          <w:trHeight w:val="276"/>
        </w:trPr>
        <w:tc>
          <w:tcPr>
            <w:tcW w:w="970" w:type="pct"/>
            <w:vAlign w:val="center"/>
          </w:tcPr>
          <w:p w14:paraId="4828AD12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1427/3</w:t>
            </w:r>
          </w:p>
        </w:tc>
        <w:tc>
          <w:tcPr>
            <w:tcW w:w="912" w:type="pct"/>
            <w:vAlign w:val="center"/>
          </w:tcPr>
          <w:p w14:paraId="5B84684D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0.0</w:t>
            </w: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213</w:t>
            </w: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14:paraId="01A226DF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02443/2</w:t>
            </w:r>
          </w:p>
        </w:tc>
        <w:tc>
          <w:tcPr>
            <w:tcW w:w="1737" w:type="pct"/>
            <w:vAlign w:val="center"/>
          </w:tcPr>
          <w:p w14:paraId="44B9E4C5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65.000</w:t>
            </w: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,00 zł</w:t>
            </w:r>
          </w:p>
        </w:tc>
      </w:tr>
    </w:tbl>
    <w:p w14:paraId="639B095E" w14:textId="77777777" w:rsidR="00521A63" w:rsidRPr="00720AD5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20AD5">
        <w:rPr>
          <w:rFonts w:asciiTheme="minorHAnsi" w:hAnsiTheme="minorHAnsi" w:cstheme="minorHAnsi"/>
          <w:noProof w:val="0"/>
          <w:sz w:val="28"/>
          <w:szCs w:val="28"/>
        </w:rPr>
        <w:t>Wymieniona nieruchomość nie jest objęta obowiązującym miejscowym planem zagospodarowania przestrzennego.</w:t>
      </w:r>
    </w:p>
    <w:p w14:paraId="4DC34E03" w14:textId="77777777" w:rsidR="00521A63" w:rsidRPr="00720AD5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20AD5">
        <w:rPr>
          <w:rFonts w:asciiTheme="minorHAnsi" w:hAnsiTheme="minorHAnsi" w:cstheme="minorHAnsi"/>
          <w:noProof w:val="0"/>
          <w:sz w:val="28"/>
          <w:szCs w:val="28"/>
        </w:rPr>
        <w:t>Dział III i IV księgi wieczystej nie wykazuje obciążeń.</w:t>
      </w:r>
    </w:p>
    <w:p w14:paraId="5894B463" w14:textId="77777777" w:rsidR="00521A63" w:rsidRPr="00720AD5" w:rsidRDefault="00521A63" w:rsidP="00521A6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  <w:lang w:eastAsia="en-US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W zamian za wyżej opisaną nieruchomość gmina nabędzie nieruchomość położoną przy ul. Adama Mickiewicza: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726"/>
        <w:gridCol w:w="1747"/>
        <w:gridCol w:w="2472"/>
        <w:gridCol w:w="3117"/>
      </w:tblGrid>
      <w:tr w:rsidR="00521A63" w:rsidRPr="00720AD5" w14:paraId="6A41358D" w14:textId="77777777" w:rsidTr="00093BBC">
        <w:trPr>
          <w:trHeight w:val="618"/>
        </w:trPr>
        <w:tc>
          <w:tcPr>
            <w:tcW w:w="970" w:type="pct"/>
            <w:vAlign w:val="center"/>
          </w:tcPr>
          <w:p w14:paraId="5BD91800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numer</w:t>
            </w:r>
          </w:p>
          <w:p w14:paraId="327A9044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geodezyjny</w:t>
            </w:r>
          </w:p>
        </w:tc>
        <w:tc>
          <w:tcPr>
            <w:tcW w:w="912" w:type="pct"/>
            <w:vAlign w:val="center"/>
          </w:tcPr>
          <w:p w14:paraId="22FD597F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1381" w:type="pct"/>
            <w:vAlign w:val="center"/>
          </w:tcPr>
          <w:p w14:paraId="6C5F19FA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numer KW</w:t>
            </w:r>
          </w:p>
        </w:tc>
        <w:tc>
          <w:tcPr>
            <w:tcW w:w="1737" w:type="pct"/>
            <w:vAlign w:val="center"/>
          </w:tcPr>
          <w:p w14:paraId="1774788B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b/>
                <w:noProof w:val="0"/>
                <w:spacing w:val="-2"/>
                <w:sz w:val="28"/>
                <w:szCs w:val="28"/>
              </w:rPr>
              <w:t>cena nieruchomości /netto/</w:t>
            </w:r>
          </w:p>
        </w:tc>
      </w:tr>
      <w:tr w:rsidR="00521A63" w:rsidRPr="00720AD5" w14:paraId="79482DC2" w14:textId="77777777" w:rsidTr="00093BBC">
        <w:trPr>
          <w:trHeight w:val="276"/>
        </w:trPr>
        <w:tc>
          <w:tcPr>
            <w:tcW w:w="970" w:type="pct"/>
            <w:vAlign w:val="center"/>
          </w:tcPr>
          <w:p w14:paraId="62B03FE2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1426</w:t>
            </w:r>
          </w:p>
          <w:p w14:paraId="1E8F9CE4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1432/1</w:t>
            </w:r>
          </w:p>
        </w:tc>
        <w:tc>
          <w:tcPr>
            <w:tcW w:w="912" w:type="pct"/>
            <w:vAlign w:val="center"/>
          </w:tcPr>
          <w:p w14:paraId="06829DDD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0</w:t>
            </w: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.0290</w:t>
            </w: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ha</w:t>
            </w:r>
          </w:p>
          <w:p w14:paraId="5BEEE241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0.0</w:t>
            </w: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021</w:t>
            </w: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14:paraId="766AAF93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40053/9</w:t>
            </w:r>
          </w:p>
        </w:tc>
        <w:tc>
          <w:tcPr>
            <w:tcW w:w="1737" w:type="pct"/>
            <w:vAlign w:val="center"/>
          </w:tcPr>
          <w:p w14:paraId="75DEA40B" w14:textId="77777777" w:rsidR="00521A63" w:rsidRPr="00720AD5" w:rsidRDefault="00521A63" w:rsidP="00093BB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74.000</w:t>
            </w:r>
            <w:r w:rsidRPr="00720AD5">
              <w:rPr>
                <w:rFonts w:asciiTheme="minorHAnsi" w:hAnsiTheme="minorHAnsi" w:cstheme="minorHAnsi"/>
                <w:noProof w:val="0"/>
                <w:spacing w:val="-2"/>
                <w:sz w:val="28"/>
                <w:szCs w:val="28"/>
              </w:rPr>
              <w:t>,00 zł</w:t>
            </w:r>
          </w:p>
        </w:tc>
      </w:tr>
    </w:tbl>
    <w:p w14:paraId="4BE91C03" w14:textId="77777777" w:rsidR="00521A63" w:rsidRPr="00520604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Z</w:t>
      </w:r>
      <w:r w:rsidRPr="00520604">
        <w:rPr>
          <w:rFonts w:asciiTheme="minorHAnsi" w:hAnsiTheme="minorHAnsi" w:cstheme="minorHAnsi"/>
          <w:noProof w:val="0"/>
          <w:sz w:val="28"/>
          <w:szCs w:val="28"/>
          <w:lang w:eastAsia="en-US"/>
        </w:rPr>
        <w:t>amiana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opisanych wyżej nieruchomości</w:t>
      </w:r>
      <w:r w:rsidRPr="00520604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odbędzie się za dopłatą, której wysokość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odpowiadać będzie</w:t>
      </w:r>
      <w:r w:rsidRPr="00520604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różnicy wartości zamienianych nieruchomości. </w:t>
      </w:r>
      <w:r>
        <w:rPr>
          <w:rFonts w:asciiTheme="minorHAnsi" w:hAnsiTheme="minorHAnsi" w:cstheme="minorHAnsi"/>
          <w:sz w:val="28"/>
          <w:szCs w:val="28"/>
        </w:rPr>
        <w:t>N</w:t>
      </w:r>
      <w:r w:rsidRPr="00274F68">
        <w:rPr>
          <w:rFonts w:asciiTheme="minorHAnsi" w:hAnsiTheme="minorHAnsi" w:cstheme="minorHAnsi"/>
          <w:sz w:val="28"/>
          <w:szCs w:val="28"/>
        </w:rPr>
        <w:t xml:space="preserve">a podstawie art. 43 ust. 1 pkt 9 </w:t>
      </w:r>
      <w:r>
        <w:rPr>
          <w:rFonts w:asciiTheme="minorHAnsi" w:hAnsiTheme="minorHAnsi" w:cstheme="minorHAnsi"/>
          <w:sz w:val="28"/>
          <w:szCs w:val="28"/>
        </w:rPr>
        <w:t xml:space="preserve">i pkt 10 </w:t>
      </w:r>
      <w:r w:rsidRPr="00274F68">
        <w:rPr>
          <w:rFonts w:asciiTheme="minorHAnsi" w:hAnsiTheme="minorHAnsi" w:cstheme="minorHAnsi"/>
          <w:sz w:val="28"/>
          <w:szCs w:val="28"/>
        </w:rPr>
        <w:t xml:space="preserve">ustawy z dnia 11 marca 2004 roku </w:t>
      </w:r>
      <w:r>
        <w:rPr>
          <w:rFonts w:asciiTheme="minorHAnsi" w:hAnsiTheme="minorHAnsi" w:cstheme="minorHAnsi"/>
          <w:sz w:val="28"/>
          <w:szCs w:val="28"/>
        </w:rPr>
        <w:br/>
      </w:r>
      <w:r w:rsidRPr="00274F68">
        <w:rPr>
          <w:rFonts w:asciiTheme="minorHAnsi" w:hAnsiTheme="minorHAnsi" w:cstheme="minorHAnsi"/>
          <w:sz w:val="28"/>
          <w:szCs w:val="28"/>
        </w:rPr>
        <w:t>o podatku od towarów usług</w:t>
      </w:r>
      <w:r>
        <w:rPr>
          <w:rFonts w:asciiTheme="minorHAnsi" w:hAnsiTheme="minorHAnsi" w:cstheme="minorHAnsi"/>
          <w:noProof w:val="0"/>
          <w:sz w:val="28"/>
          <w:szCs w:val="28"/>
        </w:rPr>
        <w:t xml:space="preserve"> </w:t>
      </w:r>
      <w:r w:rsidRPr="00520604">
        <w:rPr>
          <w:rFonts w:asciiTheme="minorHAnsi" w:hAnsiTheme="minorHAnsi" w:cstheme="minorHAnsi"/>
          <w:sz w:val="28"/>
          <w:szCs w:val="28"/>
        </w:rPr>
        <w:t>(tj. Dz. U. z 2022r. poz. 931 ze zm.)</w:t>
      </w:r>
      <w:r>
        <w:rPr>
          <w:rFonts w:asciiTheme="minorHAnsi" w:hAnsiTheme="minorHAnsi" w:cstheme="minorHAnsi"/>
          <w:noProof w:val="0"/>
          <w:sz w:val="28"/>
          <w:szCs w:val="28"/>
        </w:rPr>
        <w:t xml:space="preserve"> czynność zwolniona jest z podatku VAT.</w:t>
      </w:r>
    </w:p>
    <w:p w14:paraId="48E47EB3" w14:textId="77777777" w:rsidR="00521A63" w:rsidRPr="00720AD5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720AD5">
        <w:rPr>
          <w:rFonts w:asciiTheme="minorHAnsi" w:hAnsiTheme="minorHAnsi" w:cstheme="minorHAnsi"/>
          <w:noProof w:val="0"/>
          <w:sz w:val="28"/>
          <w:szCs w:val="28"/>
        </w:rPr>
        <w:t>Zgodnie z art. 35 ust.2 pkt</w:t>
      </w:r>
      <w:r>
        <w:rPr>
          <w:rFonts w:asciiTheme="minorHAnsi" w:hAnsiTheme="minorHAnsi" w:cstheme="minorHAnsi"/>
          <w:noProof w:val="0"/>
          <w:sz w:val="28"/>
          <w:szCs w:val="28"/>
        </w:rPr>
        <w:t xml:space="preserve"> </w:t>
      </w:r>
      <w:r w:rsidRPr="00720AD5">
        <w:rPr>
          <w:rFonts w:asciiTheme="minorHAnsi" w:hAnsiTheme="minorHAnsi" w:cstheme="minorHAnsi"/>
          <w:noProof w:val="0"/>
          <w:sz w:val="28"/>
          <w:szCs w:val="28"/>
        </w:rPr>
        <w:t xml:space="preserve">12 ustawy </w:t>
      </w:r>
      <w:r>
        <w:rPr>
          <w:rFonts w:asciiTheme="minorHAnsi" w:hAnsiTheme="minorHAnsi" w:cstheme="minorHAnsi"/>
          <w:noProof w:val="0"/>
          <w:sz w:val="28"/>
          <w:szCs w:val="28"/>
        </w:rPr>
        <w:t xml:space="preserve">z dnia 21 sierpnia 1997r. </w:t>
      </w:r>
      <w:r w:rsidRPr="00720AD5">
        <w:rPr>
          <w:rFonts w:asciiTheme="minorHAnsi" w:hAnsiTheme="minorHAnsi" w:cstheme="minorHAnsi"/>
          <w:noProof w:val="0"/>
          <w:sz w:val="28"/>
          <w:szCs w:val="28"/>
        </w:rPr>
        <w:t>o gospodarce nieruchomościami</w:t>
      </w:r>
      <w:r>
        <w:rPr>
          <w:rFonts w:asciiTheme="minorHAnsi" w:hAnsiTheme="minorHAnsi" w:cstheme="minorHAnsi"/>
          <w:noProof w:val="0"/>
          <w:sz w:val="28"/>
          <w:szCs w:val="28"/>
        </w:rPr>
        <w:t xml:space="preserve"> </w:t>
      </w:r>
      <w:r w:rsidRPr="00720AD5">
        <w:rPr>
          <w:rFonts w:asciiTheme="minorHAnsi" w:hAnsiTheme="minorHAnsi" w:cstheme="minorHAnsi"/>
          <w:noProof w:val="0"/>
          <w:sz w:val="28"/>
          <w:szCs w:val="28"/>
        </w:rPr>
        <w:t>osoby, którym przysługuje pierwszeństwo w nabyciu nieruchomości na podstawie art. 34 ust.1 pkt 1 i 2 tejże ustawy, zobowiązane są do złożenia wniosku w terminie 6 tygodni licząc od dnia wywieszenia wykazu.</w:t>
      </w:r>
    </w:p>
    <w:p w14:paraId="00DD6A2E" w14:textId="77777777" w:rsidR="00521A63" w:rsidRPr="00720AD5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noProof w:val="0"/>
          <w:spacing w:val="-2"/>
          <w:sz w:val="28"/>
          <w:szCs w:val="28"/>
        </w:rPr>
      </w:pPr>
      <w:r w:rsidRPr="00720AD5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Szczegółowych informacji w sprawie zamiany wymienionej w wykazie nieruchomości udzielają pracownicy Zespołu Gospodarki Nieruchomościami </w:t>
      </w:r>
      <w:r w:rsidRPr="00720AD5">
        <w:rPr>
          <w:rFonts w:asciiTheme="minorHAnsi" w:hAnsiTheme="minorHAnsi" w:cstheme="minorHAnsi"/>
          <w:noProof w:val="0"/>
          <w:spacing w:val="-2"/>
          <w:sz w:val="28"/>
          <w:szCs w:val="28"/>
        </w:rPr>
        <w:br/>
        <w:t>tel. 61 28 47 13</w:t>
      </w:r>
      <w:r>
        <w:rPr>
          <w:rFonts w:asciiTheme="minorHAnsi" w:hAnsiTheme="minorHAnsi" w:cstheme="minorHAnsi"/>
          <w:noProof w:val="0"/>
          <w:spacing w:val="-2"/>
          <w:sz w:val="28"/>
          <w:szCs w:val="28"/>
        </w:rPr>
        <w:t>7</w:t>
      </w:r>
      <w:r w:rsidRPr="00720AD5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- pokój numer 2</w:t>
      </w:r>
      <w:r>
        <w:rPr>
          <w:rFonts w:asciiTheme="minorHAnsi" w:hAnsiTheme="minorHAnsi" w:cstheme="minorHAnsi"/>
          <w:noProof w:val="0"/>
          <w:spacing w:val="-2"/>
          <w:sz w:val="28"/>
          <w:szCs w:val="28"/>
        </w:rPr>
        <w:t>6</w:t>
      </w:r>
      <w:r w:rsidRPr="00720AD5">
        <w:rPr>
          <w:rFonts w:asciiTheme="minorHAnsi" w:hAnsiTheme="minorHAnsi" w:cstheme="minorHAnsi"/>
          <w:noProof w:val="0"/>
          <w:spacing w:val="-2"/>
          <w:sz w:val="28"/>
          <w:szCs w:val="28"/>
        </w:rPr>
        <w:t>, w godzinach pracy urzędu.</w:t>
      </w:r>
    </w:p>
    <w:p w14:paraId="09EC9D5A" w14:textId="77777777" w:rsidR="00521A63" w:rsidRPr="00720AD5" w:rsidRDefault="00521A63" w:rsidP="00521A63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555D4CA7" w14:textId="77777777" w:rsidR="00521A63" w:rsidRPr="00720AD5" w:rsidRDefault="00521A63" w:rsidP="00521A63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  <w:r w:rsidRPr="00720AD5">
        <w:rPr>
          <w:rFonts w:asciiTheme="minorHAnsi" w:hAnsiTheme="minorHAnsi" w:cstheme="minorHAnsi"/>
          <w:noProof w:val="0"/>
          <w:sz w:val="20"/>
          <w:szCs w:val="28"/>
        </w:rPr>
        <w:t>Wykaz wywieszono dnia .... …………… 20</w:t>
      </w:r>
      <w:r>
        <w:rPr>
          <w:rFonts w:asciiTheme="minorHAnsi" w:hAnsiTheme="minorHAnsi" w:cstheme="minorHAnsi"/>
          <w:noProof w:val="0"/>
          <w:sz w:val="20"/>
          <w:szCs w:val="28"/>
        </w:rPr>
        <w:t>23</w:t>
      </w:r>
      <w:r w:rsidRPr="00720AD5">
        <w:rPr>
          <w:rFonts w:asciiTheme="minorHAnsi" w:hAnsiTheme="minorHAnsi" w:cstheme="minorHAnsi"/>
          <w:noProof w:val="0"/>
          <w:sz w:val="20"/>
          <w:szCs w:val="28"/>
        </w:rPr>
        <w:t xml:space="preserve"> r.</w:t>
      </w:r>
    </w:p>
    <w:p w14:paraId="77527D07" w14:textId="77777777" w:rsidR="00521A63" w:rsidRPr="00720AD5" w:rsidRDefault="00521A63" w:rsidP="00521A63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</w:p>
    <w:p w14:paraId="329377FF" w14:textId="7A6FC01B" w:rsidR="00521A63" w:rsidRPr="00720AD5" w:rsidRDefault="00521A63" w:rsidP="00521A63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0"/>
          <w:szCs w:val="28"/>
        </w:rPr>
      </w:pPr>
      <w:r w:rsidRPr="00720AD5">
        <w:rPr>
          <w:rFonts w:asciiTheme="minorHAnsi" w:hAnsiTheme="minorHAnsi" w:cstheme="minorHAnsi"/>
          <w:noProof w:val="0"/>
          <w:sz w:val="20"/>
          <w:szCs w:val="28"/>
        </w:rPr>
        <w:t>Zdjęto dnia .... ……………….. 20</w:t>
      </w:r>
      <w:r>
        <w:rPr>
          <w:rFonts w:asciiTheme="minorHAnsi" w:hAnsiTheme="minorHAnsi" w:cstheme="minorHAnsi"/>
          <w:noProof w:val="0"/>
          <w:sz w:val="20"/>
          <w:szCs w:val="28"/>
        </w:rPr>
        <w:t>23</w:t>
      </w:r>
      <w:r w:rsidRPr="00720AD5">
        <w:rPr>
          <w:rFonts w:asciiTheme="minorHAnsi" w:hAnsiTheme="minorHAnsi" w:cstheme="minorHAnsi"/>
          <w:noProof w:val="0"/>
          <w:sz w:val="20"/>
          <w:szCs w:val="28"/>
        </w:rPr>
        <w:t xml:space="preserve"> r. </w:t>
      </w:r>
    </w:p>
    <w:p w14:paraId="5E6F2E41" w14:textId="2C29C498" w:rsidR="00521A63" w:rsidRPr="00720AD5" w:rsidRDefault="003412C7" w:rsidP="00521A63">
      <w:pPr>
        <w:rPr>
          <w:rFonts w:asciiTheme="minorHAnsi" w:hAnsiTheme="minorHAnsi" w:cstheme="minorHAnsi"/>
        </w:rPr>
      </w:pPr>
      <w:r w:rsidRPr="00720AD5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89CD5E8" wp14:editId="74BCFCFF">
            <wp:simplePos x="0" y="0"/>
            <wp:positionH relativeFrom="column">
              <wp:posOffset>4118610</wp:posOffset>
            </wp:positionH>
            <wp:positionV relativeFrom="paragraph">
              <wp:posOffset>34925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 descr="Obraz zawierający Czcionka, tekst, Grafi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Czcionka, tekst, Grafika,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21A63" w:rsidRPr="00720AD5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36B"/>
    <w:rsid w:val="003412C7"/>
    <w:rsid w:val="003B236B"/>
    <w:rsid w:val="00455D01"/>
    <w:rsid w:val="00521A63"/>
    <w:rsid w:val="009C26A0"/>
    <w:rsid w:val="00F2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19B5B"/>
  <w15:chartTrackingRefBased/>
  <w15:docId w15:val="{3C5ACD6F-246B-4B83-B2E6-7B59B6041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A63"/>
    <w:pPr>
      <w:spacing w:after="200" w:line="276" w:lineRule="auto"/>
      <w:ind w:firstLine="0"/>
      <w:jc w:val="left"/>
    </w:pPr>
    <w:rPr>
      <w:rFonts w:eastAsia="Times New Roman" w:cs="Times New Roman"/>
      <w:noProof/>
      <w:kern w:val="0"/>
      <w:sz w:val="22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21A63"/>
    <w:pPr>
      <w:spacing w:after="0"/>
      <w:ind w:firstLine="0"/>
      <w:jc w:val="left"/>
    </w:pPr>
    <w:rPr>
      <w:rFonts w:eastAsia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3</cp:revision>
  <dcterms:created xsi:type="dcterms:W3CDTF">2023-07-12T10:08:00Z</dcterms:created>
  <dcterms:modified xsi:type="dcterms:W3CDTF">2023-07-12T10:36:00Z</dcterms:modified>
</cp:coreProperties>
</file>