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E642F" w14:textId="77777777" w:rsidR="00DF6DA6" w:rsidRDefault="00DF6DA6" w:rsidP="00DF6DA6">
      <w:pPr>
        <w:ind w:firstLine="0"/>
        <w:jc w:val="center"/>
        <w:rPr>
          <w:rFonts w:eastAsia="Times New Roman" w:cs="Calibri"/>
          <w:b/>
          <w:szCs w:val="28"/>
          <w:lang w:eastAsia="pl-PL"/>
        </w:rPr>
      </w:pPr>
      <w:r>
        <w:rPr>
          <w:rFonts w:eastAsia="Times New Roman" w:cs="Calibri"/>
          <w:b/>
          <w:szCs w:val="28"/>
          <w:lang w:eastAsia="pl-PL"/>
        </w:rPr>
        <w:t>AUTOPOPRAWKI DO PROJEKTU UCHWAŁY ZMIENIAJĄCEJ UCHWAŁĘ W SPRAWIE UCHWAŁY BUDŻETOWEJ GMINY ŚREM NA 2022 ROK</w:t>
      </w:r>
    </w:p>
    <w:p w14:paraId="33562F79" w14:textId="77777777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426" w:firstLine="0"/>
        <w:jc w:val="center"/>
        <w:rPr>
          <w:rFonts w:eastAsia="Times New Roman" w:cs="Calibri"/>
          <w:bCs/>
          <w:color w:val="000000"/>
          <w:szCs w:val="28"/>
          <w:lang w:eastAsia="pl-PL"/>
        </w:rPr>
      </w:pPr>
      <w:r>
        <w:rPr>
          <w:rFonts w:eastAsia="Times New Roman" w:cs="Calibri"/>
          <w:bCs/>
          <w:color w:val="000000"/>
          <w:szCs w:val="28"/>
          <w:lang w:eastAsia="pl-PL"/>
        </w:rPr>
        <w:t>(sesja: 23 września 2022 r.)</w:t>
      </w:r>
    </w:p>
    <w:p w14:paraId="0C680AFA" w14:textId="77777777" w:rsidR="00DF6DA6" w:rsidRDefault="00DF6DA6" w:rsidP="00DF6DA6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426" w:hanging="313"/>
        <w:rPr>
          <w:rFonts w:eastAsia="Times New Roman" w:cs="Calibri"/>
          <w:b/>
          <w:bCs/>
          <w:szCs w:val="28"/>
          <w:lang w:eastAsia="pl-PL"/>
        </w:rPr>
      </w:pPr>
      <w:r>
        <w:rPr>
          <w:rFonts w:eastAsia="Times New Roman" w:cs="Calibri"/>
          <w:b/>
          <w:bCs/>
          <w:szCs w:val="28"/>
          <w:lang w:eastAsia="pl-PL"/>
        </w:rPr>
        <w:t xml:space="preserve">Główka uchwały </w:t>
      </w:r>
      <w:r>
        <w:rPr>
          <w:rFonts w:eastAsia="Times New Roman" w:cs="Calibri"/>
          <w:szCs w:val="28"/>
          <w:lang w:eastAsia="pl-PL"/>
        </w:rPr>
        <w:t>– zmienia się lub dodaje się zaznaczony na szaro tekst.</w:t>
      </w:r>
    </w:p>
    <w:p w14:paraId="0E79E061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340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1) </w:t>
      </w:r>
      <w:r>
        <w:rPr>
          <w:rFonts w:eastAsia="Times New Roman" w:cs="Calibri"/>
          <w:color w:val="000000"/>
          <w:szCs w:val="28"/>
          <w:lang w:eastAsia="pl-PL"/>
        </w:rPr>
        <w:t>w § 1:</w:t>
      </w:r>
    </w:p>
    <w:p w14:paraId="74A1AE9E" w14:textId="77777777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a) </w:t>
      </w:r>
      <w:r>
        <w:rPr>
          <w:rFonts w:eastAsia="Times New Roman" w:cs="Calibri"/>
          <w:color w:val="000000"/>
          <w:szCs w:val="28"/>
          <w:lang w:eastAsia="pl-PL"/>
        </w:rPr>
        <w:t xml:space="preserve">łączną kwotę dochodów budżetu gminy Śrem zwiększa się o kwotę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14 121 554,73 zł</w:t>
      </w:r>
      <w:r>
        <w:rPr>
          <w:rFonts w:eastAsia="Times New Roman" w:cs="Calibri"/>
          <w:color w:val="000000"/>
          <w:szCs w:val="28"/>
          <w:lang w:eastAsia="pl-PL"/>
        </w:rPr>
        <w:t xml:space="preserve">, plan po zmianach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226 216 386,26 zł</w:t>
      </w:r>
      <w:r>
        <w:rPr>
          <w:rFonts w:eastAsia="Times New Roman" w:cs="Calibri"/>
          <w:color w:val="000000"/>
          <w:szCs w:val="28"/>
          <w:lang w:eastAsia="pl-PL"/>
        </w:rPr>
        <w:t>,</w:t>
      </w:r>
    </w:p>
    <w:p w14:paraId="79B4EB3E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b) </w:t>
      </w:r>
      <w:r>
        <w:rPr>
          <w:rFonts w:eastAsia="Times New Roman" w:cs="Calibri"/>
          <w:color w:val="000000"/>
          <w:szCs w:val="28"/>
          <w:lang w:eastAsia="pl-PL"/>
        </w:rPr>
        <w:t xml:space="preserve">pkt 1 dochody bieżące zwiększa się do kwoty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217 911 677,10 zł,</w:t>
      </w:r>
      <w:r>
        <w:rPr>
          <w:rFonts w:eastAsia="Times New Roman" w:cs="Calibri"/>
          <w:color w:val="000000"/>
          <w:szCs w:val="28"/>
          <w:lang w:eastAsia="pl-PL"/>
        </w:rPr>
        <w:t xml:space="preserve">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w tym z tytułu dotacji i środków na finansowanie wydatków na realizację zadań finansowanych z udziałem środków, o których mowa w art. 5 ust. 1 pkt 2 i 3 ustawy z dnia 27 sierpnia 2009 r. o finansach publicznych 2 547 414,74 zł;</w:t>
      </w:r>
    </w:p>
    <w:p w14:paraId="2CB18F81" w14:textId="77777777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c) </w:t>
      </w:r>
      <w:r>
        <w:rPr>
          <w:rFonts w:eastAsia="Times New Roman" w:cs="Calibri"/>
          <w:color w:val="000000"/>
          <w:szCs w:val="28"/>
          <w:lang w:eastAsia="pl-PL"/>
        </w:rPr>
        <w:t>pkt 2 dochody majątkowe zwiększa się do kwoty 8 304 709,16 zł;</w:t>
      </w:r>
    </w:p>
    <w:p w14:paraId="32DB0395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340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2) </w:t>
      </w:r>
      <w:r>
        <w:rPr>
          <w:rFonts w:eastAsia="Times New Roman" w:cs="Calibri"/>
          <w:color w:val="000000"/>
          <w:szCs w:val="28"/>
          <w:lang w:eastAsia="pl-PL"/>
        </w:rPr>
        <w:t>w § 2:</w:t>
      </w:r>
    </w:p>
    <w:p w14:paraId="17253C0E" w14:textId="77777777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a) </w:t>
      </w:r>
      <w:r>
        <w:rPr>
          <w:rFonts w:eastAsia="Times New Roman" w:cs="Calibri"/>
          <w:color w:val="000000"/>
          <w:szCs w:val="28"/>
          <w:lang w:eastAsia="pl-PL"/>
        </w:rPr>
        <w:t xml:space="preserve">łączną kwotę wydatków budżetu gminy Śrem zwiększa się o kwotę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14 121 554,73 zł</w:t>
      </w:r>
      <w:r>
        <w:rPr>
          <w:rFonts w:eastAsia="Times New Roman" w:cs="Calibri"/>
          <w:color w:val="000000"/>
          <w:szCs w:val="28"/>
          <w:lang w:eastAsia="pl-PL"/>
        </w:rPr>
        <w:t xml:space="preserve">, plan po zmianach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254 039 940,47 zł</w:t>
      </w:r>
      <w:r>
        <w:rPr>
          <w:rFonts w:eastAsia="Times New Roman" w:cs="Calibri"/>
          <w:color w:val="000000"/>
          <w:szCs w:val="28"/>
          <w:lang w:eastAsia="pl-PL"/>
        </w:rPr>
        <w:t>,</w:t>
      </w:r>
    </w:p>
    <w:p w14:paraId="0A7D9F29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b) </w:t>
      </w:r>
      <w:r>
        <w:rPr>
          <w:rFonts w:eastAsia="Times New Roman" w:cs="Calibri"/>
          <w:color w:val="000000"/>
          <w:szCs w:val="28"/>
          <w:lang w:eastAsia="pl-PL"/>
        </w:rPr>
        <w:t xml:space="preserve">pkt 1 wydatki bieżące zwiększa się do kwoty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214 720 105,99 zł, w tym wydatki na programy finansowane z udziałem środków, o których mowa w art. 5 ust. 1 pkt 2 i 3 ustawy z dnia 27 sierpnia 2009 r. o finansach publicznych 2 610 370,50 zł,</w:t>
      </w:r>
    </w:p>
    <w:p w14:paraId="104F929B" w14:textId="77777777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c) </w:t>
      </w:r>
      <w:r>
        <w:rPr>
          <w:rFonts w:eastAsia="Times New Roman" w:cs="Calibri"/>
          <w:color w:val="000000"/>
          <w:szCs w:val="28"/>
          <w:lang w:eastAsia="pl-PL"/>
        </w:rPr>
        <w:t>pkt 2 wydatki majątkowe zwiększa się do kwoty 39 319 834,48 zł;</w:t>
      </w:r>
    </w:p>
    <w:p w14:paraId="57B80C50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340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3) </w:t>
      </w:r>
      <w:r>
        <w:rPr>
          <w:rFonts w:eastAsia="Times New Roman" w:cs="Calibri"/>
          <w:color w:val="000000"/>
          <w:szCs w:val="28"/>
          <w:lang w:eastAsia="pl-PL"/>
        </w:rPr>
        <w:t xml:space="preserve">§ 15 b otrzymuje brzmienie:„§ 15 b. Środki z Funduszu Przeciwdziałania COVID-19 w kwocie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13 136 865,33 zł</w:t>
      </w:r>
      <w:r>
        <w:rPr>
          <w:rFonts w:eastAsia="Times New Roman" w:cs="Calibri"/>
          <w:color w:val="000000"/>
          <w:szCs w:val="28"/>
          <w:lang w:eastAsia="pl-PL"/>
        </w:rPr>
        <w:t xml:space="preserve"> przeznacza się na:</w:t>
      </w:r>
    </w:p>
    <w:p w14:paraId="4ABD4841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340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1) </w:t>
      </w:r>
      <w:r>
        <w:rPr>
          <w:rFonts w:eastAsia="Times New Roman" w:cs="Calibri"/>
          <w:color w:val="000000"/>
          <w:szCs w:val="28"/>
          <w:lang w:eastAsia="pl-PL"/>
        </w:rPr>
        <w:t>Realizację programu „ Korpus wsparcia Seniorów na 2022 rok” w kwocie  80 865,33 zł,</w:t>
      </w:r>
    </w:p>
    <w:p w14:paraId="5A89D4BB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340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2) </w:t>
      </w:r>
      <w:r>
        <w:rPr>
          <w:rFonts w:eastAsia="Times New Roman" w:cs="Calibri"/>
          <w:color w:val="000000"/>
          <w:szCs w:val="28"/>
          <w:lang w:eastAsia="pl-PL"/>
        </w:rPr>
        <w:t xml:space="preserve">Wypłatę dodatku węglowego w kwocie </w:t>
      </w:r>
      <w:r>
        <w:rPr>
          <w:rFonts w:eastAsia="Times New Roman" w:cs="Calibri"/>
          <w:color w:val="000000"/>
          <w:szCs w:val="28"/>
          <w:highlight w:val="lightGray"/>
          <w:lang w:eastAsia="pl-PL"/>
        </w:rPr>
        <w:t>13 056 000,00 zł</w:t>
      </w:r>
      <w:r>
        <w:rPr>
          <w:rFonts w:eastAsia="Times New Roman" w:cs="Calibri"/>
          <w:color w:val="000000"/>
          <w:szCs w:val="28"/>
          <w:lang w:eastAsia="pl-PL"/>
        </w:rPr>
        <w:t>; ”;</w:t>
      </w:r>
    </w:p>
    <w:p w14:paraId="6056E6C0" w14:textId="77777777" w:rsidR="008D5E6F" w:rsidRDefault="00DF6DA6" w:rsidP="00DF6DA6">
      <w:pPr>
        <w:autoSpaceDE w:val="0"/>
        <w:autoSpaceDN w:val="0"/>
        <w:adjustRightInd w:val="0"/>
        <w:spacing w:before="120" w:after="120"/>
        <w:ind w:firstLine="0"/>
        <w:rPr>
          <w:rFonts w:eastAsia="Times New Roman" w:cs="Calibri"/>
          <w:szCs w:val="28"/>
          <w:lang w:eastAsia="pl-PL"/>
        </w:rPr>
      </w:pPr>
      <w:r>
        <w:rPr>
          <w:rFonts w:eastAsia="Times New Roman" w:cs="Calibri"/>
          <w:b/>
          <w:bCs/>
          <w:szCs w:val="28"/>
          <w:lang w:eastAsia="pl-PL"/>
        </w:rPr>
        <w:t>II. Uzasadnienie</w:t>
      </w:r>
      <w:r>
        <w:rPr>
          <w:rFonts w:eastAsia="Times New Roman" w:cs="Calibri"/>
          <w:szCs w:val="28"/>
          <w:lang w:eastAsia="pl-PL"/>
        </w:rPr>
        <w:t xml:space="preserve"> – zmienia się opis działów, w których pojawiły się autopoprawki. </w:t>
      </w:r>
    </w:p>
    <w:p w14:paraId="74B2F215" w14:textId="55F2D80A" w:rsidR="00DF6DA6" w:rsidRDefault="00DF6DA6" w:rsidP="00DF6DA6">
      <w:pPr>
        <w:autoSpaceDE w:val="0"/>
        <w:autoSpaceDN w:val="0"/>
        <w:adjustRightInd w:val="0"/>
        <w:spacing w:before="120" w:after="120"/>
        <w:ind w:firstLine="0"/>
        <w:rPr>
          <w:rFonts w:eastAsia="Times New Roman" w:cs="Calibri"/>
          <w:szCs w:val="28"/>
          <w:lang w:eastAsia="pl-PL"/>
        </w:rPr>
      </w:pPr>
      <w:r>
        <w:rPr>
          <w:rFonts w:eastAsia="Times New Roman" w:cs="Calibri"/>
          <w:b/>
          <w:bCs/>
          <w:szCs w:val="28"/>
          <w:lang w:eastAsia="pl-PL"/>
        </w:rPr>
        <w:t>III.</w:t>
      </w:r>
      <w:r>
        <w:rPr>
          <w:rFonts w:eastAsia="Times New Roman" w:cs="Calibri"/>
          <w:szCs w:val="28"/>
          <w:lang w:eastAsia="pl-PL"/>
        </w:rPr>
        <w:t xml:space="preserve"> Zmienia się załącznik nr 1 do uchwały budżetowej, zgodnie z załącznikiem nr 1 autopoprawek,</w:t>
      </w:r>
    </w:p>
    <w:p w14:paraId="0FFDFBE7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142" w:hanging="142"/>
        <w:rPr>
          <w:rFonts w:eastAsia="Times New Roman" w:cs="Calibri"/>
          <w:szCs w:val="28"/>
          <w:lang w:eastAsia="pl-PL"/>
        </w:rPr>
      </w:pPr>
      <w:r>
        <w:rPr>
          <w:rFonts w:eastAsia="Times New Roman" w:cs="Calibri"/>
          <w:b/>
          <w:bCs/>
          <w:szCs w:val="28"/>
          <w:lang w:eastAsia="pl-PL"/>
        </w:rPr>
        <w:t>IV.</w:t>
      </w:r>
      <w:r>
        <w:rPr>
          <w:rFonts w:eastAsia="Times New Roman" w:cs="Calibri"/>
          <w:szCs w:val="28"/>
          <w:lang w:eastAsia="pl-PL"/>
        </w:rPr>
        <w:t xml:space="preserve"> Zmienia się załącznik nr 2 do uchwały budżetowej, zgodnie z załącznikiem nr 2 autopoprawek. </w:t>
      </w:r>
    </w:p>
    <w:p w14:paraId="1DB59287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142" w:hanging="142"/>
        <w:rPr>
          <w:rFonts w:eastAsia="Times New Roman" w:cs="Calibri"/>
          <w:szCs w:val="28"/>
          <w:lang w:eastAsia="pl-PL"/>
        </w:rPr>
      </w:pPr>
      <w:r>
        <w:rPr>
          <w:rFonts w:eastAsia="Times New Roman" w:cs="Calibri"/>
          <w:b/>
          <w:bCs/>
          <w:szCs w:val="28"/>
          <w:lang w:eastAsia="pl-PL"/>
        </w:rPr>
        <w:t>V.</w:t>
      </w:r>
      <w:r>
        <w:rPr>
          <w:rFonts w:eastAsia="Times New Roman" w:cs="Calibri"/>
          <w:szCs w:val="28"/>
          <w:lang w:eastAsia="pl-PL"/>
        </w:rPr>
        <w:t xml:space="preserve"> Konsekwencją autopoprawek są też zmiany w załączniku nr 4 i 5 do niniejszej uchwały.</w:t>
      </w:r>
    </w:p>
    <w:p w14:paraId="7DF2352F" w14:textId="77777777" w:rsidR="00275269" w:rsidRDefault="00275269"/>
    <w:sectPr w:rsidR="00275269" w:rsidSect="007C636B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141BD"/>
    <w:multiLevelType w:val="hybridMultilevel"/>
    <w:tmpl w:val="DEE22FB0"/>
    <w:lvl w:ilvl="0" w:tplc="C76627D0">
      <w:start w:val="1"/>
      <w:numFmt w:val="upperRoman"/>
      <w:lvlText w:val="%1."/>
      <w:lvlJc w:val="left"/>
      <w:pPr>
        <w:ind w:left="833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num w:numId="1" w16cid:durableId="2750668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DA6"/>
    <w:rsid w:val="00275269"/>
    <w:rsid w:val="007C636B"/>
    <w:rsid w:val="008D5E6F"/>
    <w:rsid w:val="00DF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04986"/>
  <w15:chartTrackingRefBased/>
  <w15:docId w15:val="{371DD0F8-8D8E-48B7-A055-595F1020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D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6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0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Ściubeł</dc:creator>
  <cp:keywords/>
  <dc:description/>
  <cp:lastModifiedBy>Aleksandra Ściubeł</cp:lastModifiedBy>
  <cp:revision>3</cp:revision>
  <dcterms:created xsi:type="dcterms:W3CDTF">2022-09-23T07:09:00Z</dcterms:created>
  <dcterms:modified xsi:type="dcterms:W3CDTF">2022-09-23T08:52:00Z</dcterms:modified>
</cp:coreProperties>
</file>