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00AC" w14:textId="77777777" w:rsidR="009F1C5E" w:rsidRDefault="009F1C5E" w:rsidP="009F1C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kancelarią SENDERO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Legal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zaprasza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bezpłatne webinarium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9B79935" w14:textId="77777777" w:rsidR="009F1C5E" w:rsidRDefault="009F1C5E" w:rsidP="009F1C5E">
      <w:pPr>
        <w:shd w:val="clear" w:color="auto" w:fill="FDFCFB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14:paraId="337D4E1C" w14:textId="77777777" w:rsidR="009F1C5E" w:rsidRPr="009F1C5E" w:rsidRDefault="009F1C5E" w:rsidP="009F1C5E">
      <w:pPr>
        <w:shd w:val="clear" w:color="auto" w:fill="FDFCFB"/>
        <w:textAlignment w:val="baseline"/>
        <w:rPr>
          <w:rFonts w:ascii="Arial" w:hAnsi="Arial" w:cs="Arial"/>
        </w:rPr>
      </w:pPr>
      <w:r w:rsidRPr="009F1C5E">
        <w:rPr>
          <w:rFonts w:ascii="Arial" w:hAnsi="Arial" w:cs="Arial"/>
          <w:b/>
          <w:bCs/>
          <w:sz w:val="28"/>
          <w:szCs w:val="28"/>
        </w:rPr>
        <w:t xml:space="preserve">Prawo pracy nie takie straszne. </w:t>
      </w:r>
    </w:p>
    <w:p w14:paraId="692A696D" w14:textId="77777777" w:rsidR="009F1C5E" w:rsidRPr="009F1C5E" w:rsidRDefault="009F1C5E" w:rsidP="009F1C5E">
      <w:pPr>
        <w:shd w:val="clear" w:color="auto" w:fill="FDFCFB"/>
        <w:textAlignment w:val="baseline"/>
        <w:rPr>
          <w:rFonts w:ascii="Arial" w:hAnsi="Arial" w:cs="Arial"/>
        </w:rPr>
      </w:pPr>
      <w:r w:rsidRPr="009F1C5E">
        <w:rPr>
          <w:rFonts w:ascii="Arial" w:hAnsi="Arial" w:cs="Arial"/>
          <w:b/>
          <w:bCs/>
          <w:sz w:val="28"/>
          <w:szCs w:val="28"/>
        </w:rPr>
        <w:t xml:space="preserve">Podsumowanie rocznego cyklu </w:t>
      </w:r>
      <w:proofErr w:type="spellStart"/>
      <w:r w:rsidRPr="009F1C5E">
        <w:rPr>
          <w:rFonts w:ascii="Arial" w:hAnsi="Arial" w:cs="Arial"/>
          <w:b/>
          <w:bCs/>
          <w:sz w:val="28"/>
          <w:szCs w:val="28"/>
        </w:rPr>
        <w:t>webinarów</w:t>
      </w:r>
      <w:proofErr w:type="spellEnd"/>
      <w:r w:rsidRPr="009F1C5E">
        <w:rPr>
          <w:rFonts w:ascii="Arial" w:hAnsi="Arial" w:cs="Arial"/>
          <w:b/>
          <w:bCs/>
          <w:sz w:val="28"/>
          <w:szCs w:val="28"/>
        </w:rPr>
        <w:t xml:space="preserve"> z SENDERO TAX&amp;LEGAL</w:t>
      </w:r>
    </w:p>
    <w:p w14:paraId="1B1B71F6" w14:textId="77777777" w:rsidR="009F1C5E" w:rsidRDefault="009F1C5E" w:rsidP="009F1C5E">
      <w:pPr>
        <w:shd w:val="clear" w:color="auto" w:fill="FDFCFB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6EFAB69" w14:textId="77777777" w:rsidR="009F1C5E" w:rsidRDefault="009F1C5E" w:rsidP="009F1C5E">
      <w:pPr>
        <w:shd w:val="clear" w:color="auto" w:fill="FDFCFB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które odbędzie się 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11 czerwca 2021 r. w godz. od 10:00 do 12:30.</w:t>
      </w:r>
    </w:p>
    <w:p w14:paraId="338F81BC" w14:textId="77777777" w:rsidR="009F1C5E" w:rsidRDefault="009F1C5E" w:rsidP="009F1C5E">
      <w:pPr>
        <w:shd w:val="clear" w:color="auto" w:fill="FDFCFB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370D1AE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13131"/>
          <w:sz w:val="20"/>
          <w:szCs w:val="20"/>
        </w:rPr>
        <w:t>TO JUŻ ROK!</w:t>
      </w:r>
    </w:p>
    <w:p w14:paraId="3A28C585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W czerwcu mija rok, od kiedy wspólnie z Wałbrzyską Specjalną Strefą Ekonomiczną INVEST-PARK przygotowaliśmy dla Państwa pierwsze wydarzenie. Zaczynaliśmy od zjawiska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mobbingu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w miejscu pracy. Przeszliśmy wspólnie między innymi przez zagadnienia związane z reprezentacją pracowników w zakładach pracy, roli kierowników w zarządzaniu przedsiębiorstwem, czasem pracy i pracą mobilną oraz bezpieczeństwem i higieną pracy. Na ostatnim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webinarze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rozmawialiśmy o uprawnieniach pracowników-rodziców. </w:t>
      </w:r>
    </w:p>
    <w:p w14:paraId="492E59D4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Wspólnie z Państwem chcemy podsumować ten rok. Chcemy podsumować to, o czym mówiliśmy do tej pory. Wybraliśmy te zagadnienia, które spotkały się z największym zainteresowaniem.</w:t>
      </w:r>
    </w:p>
    <w:p w14:paraId="1239040B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</w:p>
    <w:p w14:paraId="305CCE4C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313131"/>
          <w:sz w:val="20"/>
          <w:szCs w:val="20"/>
        </w:rPr>
        <w:t xml:space="preserve">Zostawiliśmy też miejsce na dodatkowy temat. Przy rejestracji na </w:t>
      </w:r>
      <w:proofErr w:type="spellStart"/>
      <w:r>
        <w:rPr>
          <w:rStyle w:val="Pogrubienie"/>
          <w:rFonts w:ascii="Arial" w:hAnsi="Arial" w:cs="Arial"/>
          <w:color w:val="313131"/>
          <w:sz w:val="20"/>
          <w:szCs w:val="20"/>
        </w:rPr>
        <w:t>webinar</w:t>
      </w:r>
      <w:proofErr w:type="spellEnd"/>
      <w:r>
        <w:rPr>
          <w:rStyle w:val="Pogrubienie"/>
          <w:rFonts w:ascii="Arial" w:hAnsi="Arial" w:cs="Arial"/>
          <w:color w:val="313131"/>
          <w:sz w:val="20"/>
          <w:szCs w:val="20"/>
        </w:rPr>
        <w:t xml:space="preserve"> mogą Państwo zasugerować nam zagadnienie, które powinniśmy poruszyć. Zachęcamy Państwa do współtworzenia tego wydarzenia, bo bardzo ważne jest dla nas to, by mówić o tych rzeczach, które szczególnie Państwa interesują</w:t>
      </w:r>
      <w:r>
        <w:rPr>
          <w:rFonts w:ascii="Arial" w:hAnsi="Arial" w:cs="Arial"/>
          <w:color w:val="313131"/>
          <w:sz w:val="20"/>
          <w:szCs w:val="20"/>
        </w:rPr>
        <w:t>.</w:t>
      </w:r>
    </w:p>
    <w:p w14:paraId="73630B34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Oczywiście nie jest to ostatni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webinar</w:t>
      </w:r>
      <w:proofErr w:type="spellEnd"/>
      <w:r>
        <w:rPr>
          <w:rFonts w:ascii="Arial" w:hAnsi="Arial" w:cs="Arial"/>
          <w:color w:val="313131"/>
          <w:sz w:val="20"/>
          <w:szCs w:val="20"/>
        </w:rPr>
        <w:t>, który dla Państwa przygotowaliśmy. Tuż po przerwie wakacyjnej wrócimy do Państwa z nowym cyklem wydarzeń. Mamy nadzieję, że będą one cieszyły się podobnym zainteresowaniem, jak te organizowane dotychczas.</w:t>
      </w:r>
    </w:p>
    <w:p w14:paraId="39B1C2AD" w14:textId="77777777" w:rsidR="009F1C5E" w:rsidRDefault="009F1C5E" w:rsidP="009F1C5E">
      <w:pPr>
        <w:shd w:val="clear" w:color="auto" w:fill="FDFCFB"/>
        <w:jc w:val="both"/>
        <w:textAlignment w:val="baseline"/>
        <w:rPr>
          <w:rFonts w:ascii="Arial" w:hAnsi="Arial" w:cs="Arial"/>
          <w:color w:val="000000"/>
        </w:rPr>
      </w:pPr>
    </w:p>
    <w:p w14:paraId="73863931" w14:textId="77777777" w:rsidR="009F1C5E" w:rsidRDefault="009F1C5E" w:rsidP="009F1C5E">
      <w:pPr>
        <w:shd w:val="clear" w:color="auto" w:fill="FDFCFB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SPOTKANIE POPROWADZĄ</w:t>
      </w:r>
    </w:p>
    <w:p w14:paraId="7F4CFE8A" w14:textId="77777777" w:rsidR="009F1C5E" w:rsidRDefault="009F1C5E" w:rsidP="009F1C5E">
      <w:pPr>
        <w:shd w:val="clear" w:color="auto" w:fill="FDFCF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Rafał Kania – wspólnik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TAX &amp; LEGAL, radca prawny</w:t>
      </w:r>
    </w:p>
    <w:p w14:paraId="47CDEA25" w14:textId="77777777" w:rsidR="009F1C5E" w:rsidRDefault="009F1C5E" w:rsidP="009F1C5E">
      <w:pPr>
        <w:shd w:val="clear" w:color="auto" w:fill="FDFCF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Filip Firut – radca prawny,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TAX &amp; LEGAL</w:t>
      </w:r>
    </w:p>
    <w:p w14:paraId="419C6A94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 </w:t>
      </w:r>
    </w:p>
    <w:p w14:paraId="28B18124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13131"/>
          <w:sz w:val="20"/>
          <w:szCs w:val="20"/>
        </w:rPr>
        <w:t>OPIS WEBINARU</w:t>
      </w:r>
    </w:p>
    <w:p w14:paraId="3CB3FF98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Z uczestnikami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webinaru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porozmawiamy o tym, jak istotną rolę w prowadzeniu przedsiębiorstwa odgrywają przepisy wewnątrzzakładowe. Dobrze opracowany regulamin pracy jest jak mapa, która pomaga odnaleźć pracownikom właściwą drogę. Uczestnicy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webinaru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będą musieli zastanowić się, czy warto zrezygnować z tworzenia „regulaminów szufladowych”.</w:t>
      </w:r>
    </w:p>
    <w:p w14:paraId="606148ED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Następnie przejdziemy przez różne formy reprezentacji pracowników w zakładach pracy. Porozmawiamy też o czasie pracy, obecności pracownika w zakładzie pracy i sposobie usprawiedliwiania przez niego nieobecności. </w:t>
      </w:r>
    </w:p>
    <w:p w14:paraId="0F379CB8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Nim przejdziemy do zagadnień związanych z ochroną danych osobowych – omawianych z perspektywy firmy produkcyjnej – pokażemy uczestnikom nasze spojrzenie na kwestie związane z BHP. Dowiedzą się oni, jakie doświadczenia z tego zakresu zbieramy na salach sądowych. </w:t>
      </w:r>
    </w:p>
    <w:p w14:paraId="6383F28B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Przypomnimy najważniejsze kwestie związane z urlopami pracowników. Powiemy uczestnikom również o tym, jak należy się zachować, kiedy firma żegna pracownika na stałe, a nie tylko na 2 tygodnie. Rozstania zawsze są trudne, a za przygotowywanie dyscyplinarki w pośpiechu, rachunek wystawia nam sąd na sali rozpraw.</w:t>
      </w:r>
    </w:p>
    <w:p w14:paraId="57FCA512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313131"/>
          <w:sz w:val="20"/>
          <w:szCs w:val="20"/>
        </w:rPr>
        <w:t xml:space="preserve">Bardzo Państwa zachęcamy do zaproponowania w formularzu rejestracyjnym dodatkowego zagadnienia na </w:t>
      </w:r>
      <w:proofErr w:type="spellStart"/>
      <w:r>
        <w:rPr>
          <w:rStyle w:val="Pogrubienie"/>
          <w:rFonts w:ascii="Arial" w:hAnsi="Arial" w:cs="Arial"/>
          <w:color w:val="313131"/>
          <w:sz w:val="20"/>
          <w:szCs w:val="20"/>
        </w:rPr>
        <w:t>webinar</w:t>
      </w:r>
      <w:proofErr w:type="spellEnd"/>
      <w:r>
        <w:rPr>
          <w:rStyle w:val="Pogrubienie"/>
          <w:rFonts w:ascii="Arial" w:hAnsi="Arial" w:cs="Arial"/>
          <w:color w:val="313131"/>
          <w:sz w:val="20"/>
          <w:szCs w:val="20"/>
        </w:rPr>
        <w:t xml:space="preserve">. Pozwoli nam to jeszcze lepiej przygotować wydarzenie. </w:t>
      </w:r>
    </w:p>
    <w:p w14:paraId="125596EF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313131"/>
          <w:sz w:val="20"/>
          <w:szCs w:val="20"/>
        </w:rPr>
        <w:t> </w:t>
      </w:r>
    </w:p>
    <w:p w14:paraId="788BF7CF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13131"/>
          <w:sz w:val="20"/>
          <w:szCs w:val="20"/>
        </w:rPr>
        <w:t>AGENDA</w:t>
      </w:r>
    </w:p>
    <w:p w14:paraId="2CAEA7C0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Zakurzone regulaminy w przedsiębiorstwie</w:t>
      </w:r>
    </w:p>
    <w:p w14:paraId="43664BCA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Głos pracowników w zakładzie pracy</w:t>
      </w:r>
    </w:p>
    <w:p w14:paraId="46765275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Wszyscy patrzą na zegarek</w:t>
      </w:r>
    </w:p>
    <w:p w14:paraId="444636AF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BHP – z czym przychodzą do nas Klienci?</w:t>
      </w:r>
    </w:p>
    <w:p w14:paraId="54ACABCB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Trzeźwość pracowników i zapomniane RODO</w:t>
      </w:r>
    </w:p>
    <w:p w14:paraId="7F476AE0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Od pracy trzeba kiedyś odpocząć</w:t>
      </w:r>
    </w:p>
    <w:p w14:paraId="71DC154C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Rozstania zawsze są trudne – jak pożegnać niechcianego pracownika?</w:t>
      </w:r>
    </w:p>
    <w:p w14:paraId="232A039D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&gt; Temat wybrany przez uczestników</w:t>
      </w:r>
    </w:p>
    <w:p w14:paraId="1DD97362" w14:textId="77777777" w:rsidR="009F1C5E" w:rsidRDefault="009F1C5E" w:rsidP="009F1C5E">
      <w:pPr>
        <w:shd w:val="clear" w:color="auto" w:fill="FDFCF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313131"/>
          <w:sz w:val="20"/>
          <w:szCs w:val="20"/>
        </w:rPr>
        <w:lastRenderedPageBreak/>
        <w:t> </w:t>
      </w:r>
    </w:p>
    <w:p w14:paraId="3A2C25CF" w14:textId="77777777" w:rsidR="009F1C5E" w:rsidRDefault="009F1C5E" w:rsidP="009F1C5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KILKA SŁÓW O PROWADZĄCYCH</w:t>
      </w:r>
    </w:p>
    <w:p w14:paraId="4AB33A4F" w14:textId="77777777" w:rsidR="009F1C5E" w:rsidRDefault="009F1C5E" w:rsidP="009F1C5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Rafał Kania</w:t>
      </w:r>
      <w:r>
        <w:rPr>
          <w:rFonts w:ascii="Arial" w:hAnsi="Arial" w:cs="Arial"/>
          <w:color w:val="000000"/>
          <w:sz w:val="20"/>
          <w:szCs w:val="20"/>
        </w:rPr>
        <w:t xml:space="preserve"> odpowiada za dział, który specjalizuje się w obszarach prawa pracy, ochrony danych osobowych oraz własności intelektualnej. Od blisko 20 lat zajmuje się prawem pracy, wspierając polskich pracodawców, głównie tych o zagranicznej proweniencji. Zanim został współtwórcą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swojej wielkiej zawodowej przygody od blisko 14 lat, wiele lat przepracował w największej polskiej kancelarii. W codziennej pracy kieruje się przede wszystkim potrzebami Klientów – ze swoim zespołem poszukuje rozwiązań, które będą dla Klientów użyteczne.</w:t>
      </w:r>
    </w:p>
    <w:p w14:paraId="58D0C6CF" w14:textId="77777777" w:rsidR="009F1C5E" w:rsidRDefault="009F1C5E" w:rsidP="009F1C5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Filip Firut</w:t>
      </w:r>
      <w:r>
        <w:rPr>
          <w:rFonts w:ascii="Arial" w:hAnsi="Arial" w:cs="Arial"/>
          <w:color w:val="000000"/>
          <w:sz w:val="20"/>
          <w:szCs w:val="20"/>
        </w:rPr>
        <w:t xml:space="preserve"> specjalizuje się w zagadnieniach związanych z prawem pracy. Jego praca polega na kompleksowym wspieraniu działów HR w dużych przedsiębiorstwach. Często przygotowanie odpowiedniej strategii dla Klienta wykracza poza wyłącznie znajomość przepisów prawa. Dlatego przy współpracy z Klientami bardzo ważny dla niego jest sposób komunikacji do Klienta oraz Klienta ze swoimi pracownikami.</w:t>
      </w:r>
    </w:p>
    <w:p w14:paraId="33849A68" w14:textId="2873529A" w:rsidR="00336F31" w:rsidRDefault="00336F31"/>
    <w:p w14:paraId="6B349BC2" w14:textId="45A4F60B" w:rsidR="009F1C5E" w:rsidRDefault="009F1C5E">
      <w:r>
        <w:t>Link do rejestracji:</w:t>
      </w:r>
    </w:p>
    <w:p w14:paraId="42707059" w14:textId="77777777" w:rsidR="009F1C5E" w:rsidRDefault="009F1C5E" w:rsidP="009F1C5E">
      <w:pPr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ipercze"/>
            <w:sz w:val="24"/>
            <w:szCs w:val="24"/>
          </w:rPr>
          <w:t>https://wsseinvestpark.clickmeeting.com/prawo-pracy-nie-takie-straszne-podsumowanie-rocznego-cyklu-webinarow-z-sendero-tax-legal/register?_ga=2.15536126.992159482.1622441793-1487396930.1589460888</w:t>
        </w:r>
      </w:hyperlink>
      <w:r>
        <w:rPr>
          <w:color w:val="333333"/>
          <w:sz w:val="24"/>
          <w:szCs w:val="24"/>
        </w:rPr>
        <w:t xml:space="preserve"> </w:t>
      </w:r>
    </w:p>
    <w:p w14:paraId="647FEE18" w14:textId="77777777" w:rsidR="009F1C5E" w:rsidRDefault="009F1C5E"/>
    <w:sectPr w:rsidR="009F1C5E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8D"/>
    <w:rsid w:val="00246C8D"/>
    <w:rsid w:val="00336F31"/>
    <w:rsid w:val="00360D57"/>
    <w:rsid w:val="00464807"/>
    <w:rsid w:val="00511C3D"/>
    <w:rsid w:val="009F1C5E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823E"/>
  <w15:chartTrackingRefBased/>
  <w15:docId w15:val="{BAAA3D16-D772-4655-B082-F5F8C18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5E"/>
    <w:pPr>
      <w:jc w:val="left"/>
    </w:pPr>
    <w:rPr>
      <w:rFonts w:ascii="Calibri" w:hAnsi="Calibri" w:cs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1C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seinvestpark.clickmeeting.com/prawo-pracy-nie-takie-straszne-podsumowanie-rocznego-cyklu-webinarow-z-sendero-tax-legal/register?_ga=2.15536126.992159482.1622441793-1487396930.15894608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2021-06-08T10:21:00Z</dcterms:created>
  <dcterms:modified xsi:type="dcterms:W3CDTF">2021-06-08T10:21:00Z</dcterms:modified>
</cp:coreProperties>
</file>