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CD1F75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A21F67">
        <w:t>Gen. Wł. Sikorskiego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911032" w:rsidP="00E66B34">
            <w:pPr>
              <w:jc w:val="center"/>
            </w:pPr>
            <w:r>
              <w:t>236/61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911032">
              <w:t>0168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911032" w:rsidP="00911032">
            <w:pPr>
              <w:jc w:val="center"/>
            </w:pPr>
            <w:r>
              <w:t>16</w:t>
            </w:r>
            <w:r w:rsidR="00154B13">
              <w:t> </w:t>
            </w:r>
            <w:r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</w:pPr>
            <w:r>
              <w:t>PO1M/000</w:t>
            </w:r>
            <w:r w:rsidR="00A21F67">
              <w:t>12799</w:t>
            </w:r>
            <w:r>
              <w:t>/</w:t>
            </w:r>
            <w:r w:rsidR="00A21F67">
              <w:t>5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 xml:space="preserve">Nieruchomość </w:t>
      </w:r>
      <w:r w:rsidR="007D783A">
        <w:t>nie jest objęta miejscowym planem zagospodarowania przestrzennego</w:t>
      </w:r>
      <w:r w:rsidRPr="00EC2D7F">
        <w:t>.</w:t>
      </w:r>
      <w:r w:rsidR="00E66B34" w:rsidRPr="00E66B34">
        <w:t xml:space="preserve"> Przedmiotem sprzedaży jest grunt wraz z nakładami (utwardzenie terenu).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idencyjnym numerem działki 236/36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Cena sprzedaży nieruchomo</w:t>
      </w:r>
      <w:r w:rsidR="00911032">
        <w:t>ści została ustalona na kwotę 16</w:t>
      </w:r>
      <w:r w:rsidRPr="00EC2D7F">
        <w:t xml:space="preserve"> </w:t>
      </w:r>
      <w:r w:rsidR="00911032">
        <w:t>000</w:t>
      </w:r>
      <w:r w:rsidR="007D783A">
        <w:t xml:space="preserve">,00 zł netto. </w:t>
      </w:r>
      <w:r w:rsidR="007D783A">
        <w:br/>
        <w:t>S</w:t>
      </w:r>
      <w:r w:rsidRPr="00EC2D7F">
        <w:t xml:space="preserve">przedaż </w:t>
      </w:r>
      <w:r w:rsidR="007D783A">
        <w:t xml:space="preserve">zwolniona będzie z </w:t>
      </w:r>
      <w:r w:rsidRPr="00EC2D7F">
        <w:t>podatk</w:t>
      </w:r>
      <w:r w:rsidR="007D783A">
        <w:t>u</w:t>
      </w:r>
      <w:r w:rsidRPr="00EC2D7F">
        <w:t xml:space="preserve"> VAT</w:t>
      </w:r>
      <w:r w:rsidR="007D783A">
        <w:t xml:space="preserve"> na podstawie art. 43 ust. 1 pkt 10 ustawy </w:t>
      </w:r>
      <w:r w:rsidR="00E21C29">
        <w:t>o podatku od towarów i usług (tj. Dz. U. z 2018 r. poz. 2174 ze zm.)</w:t>
      </w:r>
      <w:r w:rsidRPr="00EC2D7F">
        <w:t xml:space="preserve">. 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</w:t>
      </w:r>
      <w:r w:rsidR="00E21C29">
        <w:t xml:space="preserve">tj. </w:t>
      </w:r>
      <w:r w:rsidRPr="00EC2D7F">
        <w:t>Dz. U. z 201</w:t>
      </w:r>
      <w:r w:rsidR="00E21C29">
        <w:t>8</w:t>
      </w:r>
      <w:r w:rsidRPr="00EC2D7F">
        <w:t xml:space="preserve"> r. poz. 2</w:t>
      </w:r>
      <w:r w:rsidR="00E21C29">
        <w:t>204</w:t>
      </w:r>
      <w:r w:rsidRPr="00EC2D7F">
        <w:t xml:space="preserve"> ze zm.) osoby, którym przysługuje pierwszeństwo w nabyciu nieruchomości na podstawie art. 34 ust.1 pkt.1 i 2 tejże ustawy, zobowiązane są do złożenia wniosku w terminie </w:t>
      </w:r>
      <w:r w:rsidR="00E21C29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  <w:bookmarkStart w:id="0" w:name="_GoBack"/>
      <w:bookmarkEnd w:id="0"/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911032">
        <w:rPr>
          <w:sz w:val="20"/>
        </w:rPr>
        <w:t>.. grudnia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4352290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7D783A"/>
    <w:rsid w:val="0085285F"/>
    <w:rsid w:val="00870A6F"/>
    <w:rsid w:val="00911032"/>
    <w:rsid w:val="00926889"/>
    <w:rsid w:val="009569FE"/>
    <w:rsid w:val="00A21F67"/>
    <w:rsid w:val="00AC4601"/>
    <w:rsid w:val="00AD3A0F"/>
    <w:rsid w:val="00AF3794"/>
    <w:rsid w:val="00B82D84"/>
    <w:rsid w:val="00B97ADB"/>
    <w:rsid w:val="00BF258B"/>
    <w:rsid w:val="00C57CD4"/>
    <w:rsid w:val="00CD1F75"/>
    <w:rsid w:val="00CD6884"/>
    <w:rsid w:val="00D12B2E"/>
    <w:rsid w:val="00DC42A8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2013-10-08T05:47:00Z</dcterms:created>
  <dcterms:modified xsi:type="dcterms:W3CDTF">2019-12-10T07:53:00Z</dcterms:modified>
</cp:coreProperties>
</file>