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990600" cy="10858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40364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</w:t>
      </w:r>
      <w:r w:rsidR="00846AAA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403649">
      <w:pPr>
        <w:ind w:left="141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36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  <w:r w:rsidR="0040364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810000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036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Adama Mickiewicza 40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403649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1399/1, 2636/4</w:t>
            </w:r>
          </w:p>
        </w:tc>
        <w:tc>
          <w:tcPr>
            <w:tcW w:w="1355" w:type="dxa"/>
            <w:vAlign w:val="center"/>
          </w:tcPr>
          <w:p w:rsidR="000C62F6" w:rsidRPr="002F0B01" w:rsidRDefault="0040364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0.1494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52134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22116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/7</w:t>
            </w:r>
          </w:p>
        </w:tc>
        <w:tc>
          <w:tcPr>
            <w:tcW w:w="2127" w:type="dxa"/>
            <w:vAlign w:val="center"/>
          </w:tcPr>
          <w:p w:rsidR="000C62F6" w:rsidRPr="002F0B01" w:rsidRDefault="00846AAA" w:rsidP="0040364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702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2268" w:type="dxa"/>
            <w:vAlign w:val="center"/>
          </w:tcPr>
          <w:p w:rsidR="000C62F6" w:rsidRPr="002F0B01" w:rsidRDefault="00846AAA" w:rsidP="004036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0364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35F9C" w:rsidRDefault="006A7625" w:rsidP="0019360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parkingiem oraz budynkami: administracyjno-biurowym (pow. użytkowa 328,11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 oraz pełniącym wcześniej funkcję „kuchni społecznej” (pow. użytkowa 107,16 m</w:t>
      </w:r>
      <w:r w:rsidR="001936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Nieruchomość nie jest wpisana indywidualnie do wojewódzkiego rejestru zabytków, a jedynie ujęta w gminnej ewidencji zabytków.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A37F1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odbędzie się w dniu 24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stycznia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sala nr 24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A66E03" w:rsidRPr="00A66E03" w:rsidRDefault="003408C5" w:rsidP="00A66E0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Wcześniejsze przetargi odbyły się: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pierwszy 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w dniu </w:t>
      </w:r>
      <w:r w:rsidR="00A66E03">
        <w:rPr>
          <w:rFonts w:ascii="Times New Roman" w:hAnsi="Times New Roman" w:cs="Times New Roman"/>
          <w:sz w:val="28"/>
          <w:szCs w:val="28"/>
        </w:rPr>
        <w:t>8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>
        <w:rPr>
          <w:rFonts w:ascii="Times New Roman" w:hAnsi="Times New Roman" w:cs="Times New Roman"/>
          <w:sz w:val="28"/>
          <w:szCs w:val="28"/>
        </w:rPr>
        <w:t>września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201</w:t>
      </w:r>
      <w:r w:rsidR="00A66E03">
        <w:rPr>
          <w:rFonts w:ascii="Times New Roman" w:hAnsi="Times New Roman" w:cs="Times New Roman"/>
          <w:sz w:val="28"/>
          <w:szCs w:val="28"/>
        </w:rPr>
        <w:t>6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r.</w:t>
      </w:r>
      <w:r w:rsidR="00A66E03">
        <w:rPr>
          <w:rFonts w:ascii="Times New Roman" w:hAnsi="Times New Roman" w:cs="Times New Roman"/>
          <w:sz w:val="28"/>
          <w:szCs w:val="28"/>
        </w:rPr>
        <w:t>,</w:t>
      </w:r>
      <w:r w:rsidR="00810000">
        <w:rPr>
          <w:rFonts w:ascii="Times New Roman" w:hAnsi="Times New Roman" w:cs="Times New Roman"/>
          <w:sz w:val="28"/>
          <w:szCs w:val="28"/>
        </w:rPr>
        <w:t xml:space="preserve"> drugi </w:t>
      </w:r>
      <w:r>
        <w:rPr>
          <w:rFonts w:ascii="Times New Roman" w:hAnsi="Times New Roman" w:cs="Times New Roman"/>
          <w:sz w:val="28"/>
          <w:szCs w:val="28"/>
        </w:rPr>
        <w:t>w dn</w:t>
      </w:r>
      <w:r w:rsidR="00810000">
        <w:rPr>
          <w:rFonts w:ascii="Times New Roman" w:hAnsi="Times New Roman" w:cs="Times New Roman"/>
          <w:sz w:val="28"/>
          <w:szCs w:val="28"/>
        </w:rPr>
        <w:t>iu 15 listopada 2016 r.,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810000">
        <w:rPr>
          <w:rFonts w:ascii="Times New Roman" w:hAnsi="Times New Roman" w:cs="Times New Roman"/>
          <w:sz w:val="28"/>
          <w:szCs w:val="28"/>
        </w:rPr>
        <w:t>które</w:t>
      </w:r>
      <w:r w:rsidR="00A66E03">
        <w:rPr>
          <w:rFonts w:ascii="Times New Roman" w:hAnsi="Times New Roman" w:cs="Times New Roman"/>
          <w:sz w:val="28"/>
          <w:szCs w:val="28"/>
        </w:rPr>
        <w:t xml:space="preserve"> </w:t>
      </w:r>
      <w:r w:rsidR="00A66E03" w:rsidRPr="00A66E03">
        <w:rPr>
          <w:rFonts w:ascii="Times New Roman" w:hAnsi="Times New Roman" w:cs="Times New Roman"/>
          <w:sz w:val="28"/>
          <w:szCs w:val="28"/>
        </w:rPr>
        <w:t>zakończył</w:t>
      </w:r>
      <w:r w:rsidR="00810000">
        <w:rPr>
          <w:rFonts w:ascii="Times New Roman" w:hAnsi="Times New Roman" w:cs="Times New Roman"/>
          <w:sz w:val="28"/>
          <w:szCs w:val="28"/>
        </w:rPr>
        <w:t>y</w:t>
      </w:r>
      <w:r w:rsidR="00A66E03" w:rsidRPr="00A66E03">
        <w:rPr>
          <w:rFonts w:ascii="Times New Roman" w:hAnsi="Times New Roman" w:cs="Times New Roman"/>
          <w:sz w:val="28"/>
          <w:szCs w:val="28"/>
        </w:rPr>
        <w:t xml:space="preserve">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25693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193608">
        <w:rPr>
          <w:rFonts w:ascii="Times New Roman" w:eastAsia="Times New Roman" w:hAnsi="Times New Roman" w:cs="Times New Roman"/>
          <w:sz w:val="28"/>
          <w:szCs w:val="28"/>
          <w:lang w:eastAsia="pl-PL"/>
        </w:rPr>
        <w:t>Mickiewicza 40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1000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D61018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Gmina Śrem nie odpowiada</w:t>
      </w:r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nieujawniony w Ośrodku Dokumentacji Geodezyjnej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Kartograficznej, w granicach zbywanej nieruchomości,</w:t>
      </w:r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przebieg </w:t>
      </w:r>
      <w:bookmarkStart w:id="0" w:name="_GoBack"/>
      <w:bookmarkEnd w:id="0"/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w prasie lokalnej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krajowej – elektronicznej: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hyperlink r:id="rId11" w:history="1">
        <w:r w:rsidR="0087340D" w:rsidRPr="00987679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w godzinach pracy Urzędu </w:t>
      </w:r>
      <w:r w:rsidR="0087340D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B35141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18167" cy="2857500"/>
            <wp:effectExtent l="0" t="0" r="698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519" cy="285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7340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810000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941F4C">
      <w:footerReference w:type="default" r:id="rId14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197" w:rsidRDefault="004B3197">
      <w:r>
        <w:separator/>
      </w:r>
    </w:p>
  </w:endnote>
  <w:endnote w:type="continuationSeparator" w:id="0">
    <w:p w:rsidR="004B3197" w:rsidRDefault="004B3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018">
          <w:rPr>
            <w:noProof/>
          </w:rPr>
          <w:t>1</w:t>
        </w:r>
        <w:r>
          <w:fldChar w:fldCharType="end"/>
        </w:r>
      </w:p>
    </w:sdtContent>
  </w:sdt>
  <w:p w:rsidR="00161800" w:rsidRDefault="004B31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197" w:rsidRDefault="004B3197">
      <w:r>
        <w:separator/>
      </w:r>
    </w:p>
  </w:footnote>
  <w:footnote w:type="continuationSeparator" w:id="0">
    <w:p w:rsidR="004B3197" w:rsidRDefault="004B3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404F8"/>
    <w:rsid w:val="0018465D"/>
    <w:rsid w:val="00193608"/>
    <w:rsid w:val="001F6B09"/>
    <w:rsid w:val="0025693D"/>
    <w:rsid w:val="0028331A"/>
    <w:rsid w:val="00332096"/>
    <w:rsid w:val="003408C5"/>
    <w:rsid w:val="003925C7"/>
    <w:rsid w:val="003E5C83"/>
    <w:rsid w:val="00403649"/>
    <w:rsid w:val="004318AF"/>
    <w:rsid w:val="00486000"/>
    <w:rsid w:val="004B29EA"/>
    <w:rsid w:val="004B3197"/>
    <w:rsid w:val="00506F86"/>
    <w:rsid w:val="006A10C2"/>
    <w:rsid w:val="006A7625"/>
    <w:rsid w:val="00721492"/>
    <w:rsid w:val="007F0024"/>
    <w:rsid w:val="00810000"/>
    <w:rsid w:val="00824919"/>
    <w:rsid w:val="00846AAA"/>
    <w:rsid w:val="0087340D"/>
    <w:rsid w:val="008935DE"/>
    <w:rsid w:val="00941F4C"/>
    <w:rsid w:val="009708F3"/>
    <w:rsid w:val="009A27EB"/>
    <w:rsid w:val="00A06D27"/>
    <w:rsid w:val="00A37F15"/>
    <w:rsid w:val="00A66E03"/>
    <w:rsid w:val="00A7733E"/>
    <w:rsid w:val="00A92B42"/>
    <w:rsid w:val="00AB0693"/>
    <w:rsid w:val="00AF3C98"/>
    <w:rsid w:val="00AF5EE0"/>
    <w:rsid w:val="00B30D57"/>
    <w:rsid w:val="00B35141"/>
    <w:rsid w:val="00BE3C8B"/>
    <w:rsid w:val="00BF5AD6"/>
    <w:rsid w:val="00C72A07"/>
    <w:rsid w:val="00C8124A"/>
    <w:rsid w:val="00D12B2E"/>
    <w:rsid w:val="00D23F5E"/>
    <w:rsid w:val="00D61018"/>
    <w:rsid w:val="00DA795E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nitorurzedowy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10629-9C60-41AA-8D8F-09F3E4CEE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657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28</cp:revision>
  <cp:lastPrinted>2014-02-25T09:11:00Z</cp:lastPrinted>
  <dcterms:created xsi:type="dcterms:W3CDTF">2013-11-07T10:24:00Z</dcterms:created>
  <dcterms:modified xsi:type="dcterms:W3CDTF">2016-11-21T08:33:00Z</dcterms:modified>
</cp:coreProperties>
</file>