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CB6204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4C0E8E" w:rsidRPr="004C0E8E">
        <w:rPr>
          <w:b/>
          <w:i w:val="0"/>
        </w:rPr>
        <w:t>2</w:t>
      </w:r>
    </w:p>
    <w:p w:rsidR="00CB6204" w:rsidRDefault="0010559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2603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CB6204">
      <w:pPr>
        <w:pStyle w:val="Nagwek3"/>
        <w:rPr>
          <w:sz w:val="28"/>
        </w:rPr>
      </w:pPr>
    </w:p>
    <w:p w:rsidR="00A46EFE" w:rsidRPr="009A21D7" w:rsidRDefault="009A21D7" w:rsidP="009A21D7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4C0E8E" w:rsidRPr="004C0E8E">
        <w:rPr>
          <w:b/>
        </w:rPr>
        <w:t>przetarg nieograniczony</w:t>
      </w:r>
      <w:r>
        <w:t xml:space="preserve"> na</w:t>
      </w:r>
      <w:r w:rsidR="00DD482A">
        <w:t>:</w:t>
      </w:r>
    </w:p>
    <w:p w:rsidR="00A46EFE" w:rsidRDefault="004C0E8E" w:rsidP="009A21D7">
      <w:pPr>
        <w:pStyle w:val="Tekstpodstawowywcity"/>
        <w:spacing w:line="360" w:lineRule="auto"/>
        <w:ind w:firstLine="0"/>
      </w:pPr>
      <w:r w:rsidRPr="004C0E8E">
        <w:rPr>
          <w:b/>
        </w:rPr>
        <w:t>Modernizacja dróg z wyłączeniem dróg o nawierzchni asfaltowej na terenach miasta i gminy Śrem</w:t>
      </w:r>
      <w:r w:rsidR="00A46EFE">
        <w:t xml:space="preserve"> </w:t>
      </w:r>
    </w:p>
    <w:p w:rsidR="00DD482A" w:rsidRDefault="00DD482A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EFE" w:rsidRPr="00430649" w:rsidRDefault="00A46EFE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D4CAF">
        <w:rPr>
          <w:sz w:val="24"/>
          <w:szCs w:val="24"/>
        </w:rPr>
        <w:t xml:space="preserve">świadczamy, że </w:t>
      </w:r>
      <w:r w:rsidRPr="00430649">
        <w:rPr>
          <w:sz w:val="24"/>
          <w:szCs w:val="24"/>
        </w:rPr>
        <w:t xml:space="preserve">brak jest podstaw do wykluczenia </w:t>
      </w:r>
      <w:r w:rsidR="008D4CAF">
        <w:rPr>
          <w:sz w:val="24"/>
          <w:szCs w:val="24"/>
        </w:rPr>
        <w:t xml:space="preserve">nas </w:t>
      </w:r>
      <w:r w:rsidRPr="00430649">
        <w:rPr>
          <w:sz w:val="24"/>
          <w:szCs w:val="24"/>
        </w:rPr>
        <w:t>na podstawie okoliczno</w:t>
      </w:r>
      <w:r w:rsidRPr="00430649">
        <w:rPr>
          <w:rFonts w:eastAsia="TimesNewRoman"/>
          <w:sz w:val="24"/>
          <w:szCs w:val="24"/>
        </w:rPr>
        <w:t>ś</w:t>
      </w:r>
      <w:r w:rsidRPr="00430649">
        <w:rPr>
          <w:sz w:val="24"/>
          <w:szCs w:val="24"/>
        </w:rPr>
        <w:t>ci, o których mowa</w:t>
      </w:r>
      <w:r w:rsidR="008460DE">
        <w:rPr>
          <w:sz w:val="24"/>
          <w:szCs w:val="24"/>
        </w:rPr>
        <w:t xml:space="preserve"> w art. 24 ust. 1</w:t>
      </w:r>
      <w:r w:rsidRPr="00430649">
        <w:rPr>
          <w:sz w:val="24"/>
          <w:szCs w:val="24"/>
        </w:rPr>
        <w:t xml:space="preserve"> ustawy z dnia 29 stycznia 2004 </w:t>
      </w:r>
      <w:r w:rsidR="008D4CAF">
        <w:rPr>
          <w:sz w:val="24"/>
          <w:szCs w:val="24"/>
        </w:rPr>
        <w:t xml:space="preserve">roku Prawo Zamówień Publicznych </w:t>
      </w:r>
      <w:r w:rsidR="00AB7377">
        <w:rPr>
          <w:sz w:val="24"/>
          <w:szCs w:val="24"/>
        </w:rPr>
        <w:t>(</w:t>
      </w:r>
      <w:r w:rsidR="00460820">
        <w:rPr>
          <w:sz w:val="24"/>
          <w:szCs w:val="24"/>
        </w:rPr>
        <w:t>Dz. U. z 2010 r. Nr 113, poz. 759, z późn. zm.</w:t>
      </w:r>
      <w:r w:rsidR="00AB7377">
        <w:rPr>
          <w:sz w:val="24"/>
          <w:szCs w:val="24"/>
        </w:rPr>
        <w:t>)</w:t>
      </w:r>
      <w:r w:rsidRPr="00430649">
        <w:rPr>
          <w:sz w:val="24"/>
          <w:szCs w:val="24"/>
        </w:rPr>
        <w:t xml:space="preserve">, zgodnie z którym z postępowania </w:t>
      </w:r>
      <w:r w:rsidR="00DE0405">
        <w:rPr>
          <w:sz w:val="24"/>
          <w:szCs w:val="24"/>
        </w:rPr>
        <w:br/>
      </w:r>
      <w:r w:rsidRPr="00430649">
        <w:rPr>
          <w:sz w:val="24"/>
          <w:szCs w:val="24"/>
        </w:rPr>
        <w:t>o udzielenie zamówienia wyklucza się:</w:t>
      </w:r>
    </w:p>
    <w:p w:rsidR="00A46EFE" w:rsidRDefault="00A46EFE" w:rsidP="009A21D7">
      <w:pPr>
        <w:pStyle w:val="Tekstpodstawowywcity"/>
        <w:ind w:firstLine="0"/>
      </w:pPr>
    </w:p>
    <w:p w:rsidR="00A46EFE" w:rsidRPr="004C55DE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którzy wyrządzili szkodę</w:t>
      </w:r>
      <w:r>
        <w:rPr>
          <w:szCs w:val="22"/>
        </w:rPr>
        <w:t>,</w:t>
      </w:r>
      <w:r w:rsidRPr="00F25573">
        <w:rPr>
          <w:szCs w:val="22"/>
        </w:rPr>
        <w:t xml:space="preserve"> nie wykonując zamówienia lub wykonując </w:t>
      </w:r>
      <w:r>
        <w:rPr>
          <w:szCs w:val="22"/>
        </w:rPr>
        <w:br/>
      </w:r>
      <w:r w:rsidRPr="00F25573">
        <w:rPr>
          <w:szCs w:val="22"/>
        </w:rPr>
        <w:t>je nienależycie, jeżeli szkoda ta została stwierdzona orzeczeniem sądu, które uprawomocniło się w okresie 3 lat przed wszczęciem postępowania;</w:t>
      </w:r>
    </w:p>
    <w:p w:rsidR="004C55DE" w:rsidRPr="004C55DE" w:rsidRDefault="004C55DE" w:rsidP="004C55DE">
      <w:pPr>
        <w:pStyle w:val="Tekstpodstawowywcity"/>
        <w:ind w:left="360" w:hanging="360"/>
        <w:rPr>
          <w:szCs w:val="22"/>
        </w:rPr>
      </w:pPr>
      <w:r>
        <w:rPr>
          <w:szCs w:val="22"/>
        </w:rPr>
        <w:t xml:space="preserve">1a) </w:t>
      </w:r>
      <w:r w:rsidRPr="004C55DE">
        <w:rPr>
          <w:szCs w:val="22"/>
        </w:rPr>
        <w:t>wykonawców, z którymi dany zamawiający rozwiązał</w:t>
      </w:r>
      <w:r>
        <w:rPr>
          <w:szCs w:val="22"/>
        </w:rPr>
        <w:t xml:space="preserve"> </w:t>
      </w:r>
      <w:r w:rsidRPr="004C55DE">
        <w:rPr>
          <w:szCs w:val="22"/>
        </w:rPr>
        <w:t>albo wypowiedział umowę w sprawie zamówienia</w:t>
      </w:r>
      <w:r>
        <w:rPr>
          <w:szCs w:val="22"/>
        </w:rPr>
        <w:t xml:space="preserve"> </w:t>
      </w:r>
      <w:r w:rsidRPr="004C55DE">
        <w:rPr>
          <w:szCs w:val="22"/>
        </w:rPr>
        <w:t>publicznego albo odstąpił od umowy</w:t>
      </w:r>
      <w:r>
        <w:rPr>
          <w:szCs w:val="22"/>
        </w:rPr>
        <w:t xml:space="preserve"> </w:t>
      </w:r>
      <w:r w:rsidRPr="004C55DE">
        <w:rPr>
          <w:szCs w:val="22"/>
        </w:rPr>
        <w:t>w sprawie zamówienia publicznego, z powodu</w:t>
      </w:r>
      <w:r>
        <w:rPr>
          <w:szCs w:val="22"/>
        </w:rPr>
        <w:t xml:space="preserve"> </w:t>
      </w:r>
      <w:r w:rsidRPr="004C55DE">
        <w:rPr>
          <w:szCs w:val="22"/>
        </w:rPr>
        <w:t>okoliczności, za które wykonawca ponosi odpowiedzialność,</w:t>
      </w:r>
      <w:r>
        <w:rPr>
          <w:szCs w:val="22"/>
        </w:rPr>
        <w:t xml:space="preserve"> </w:t>
      </w:r>
      <w:r w:rsidRPr="004C55DE">
        <w:rPr>
          <w:szCs w:val="22"/>
        </w:rPr>
        <w:t>jeżeli rozwiązanie albo wypowiedzenie</w:t>
      </w:r>
      <w:r>
        <w:rPr>
          <w:szCs w:val="22"/>
        </w:rPr>
        <w:t xml:space="preserve"> </w:t>
      </w:r>
      <w:r w:rsidRPr="004C55DE">
        <w:rPr>
          <w:szCs w:val="22"/>
        </w:rPr>
        <w:t>umowy albo odstąpienie od niej nastąpiło</w:t>
      </w:r>
      <w:r>
        <w:rPr>
          <w:szCs w:val="22"/>
        </w:rPr>
        <w:t xml:space="preserve"> </w:t>
      </w:r>
      <w:r w:rsidRPr="004C55DE">
        <w:rPr>
          <w:szCs w:val="22"/>
        </w:rPr>
        <w:t>w okresie 3 lat przed wszczęciem postępowania,</w:t>
      </w:r>
      <w:r>
        <w:rPr>
          <w:szCs w:val="22"/>
        </w:rPr>
        <w:t xml:space="preserve"> </w:t>
      </w:r>
      <w:r w:rsidRPr="004C55DE">
        <w:rPr>
          <w:szCs w:val="22"/>
        </w:rPr>
        <w:t>a wartość niezrealizowanego zamówienia</w:t>
      </w:r>
      <w:r>
        <w:rPr>
          <w:szCs w:val="22"/>
        </w:rPr>
        <w:t xml:space="preserve"> </w:t>
      </w:r>
      <w:r w:rsidRPr="004C55DE">
        <w:rPr>
          <w:szCs w:val="22"/>
        </w:rPr>
        <w:t>wyniosła co najmniej 5% wartości umowy;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>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</w:t>
      </w:r>
      <w:r w:rsidRPr="00F25573">
        <w:rPr>
          <w:szCs w:val="22"/>
        </w:rPr>
        <w:lastRenderedPageBreak/>
        <w:t xml:space="preserve">popełnione w celu osiągnięcia korzyści majątkowych, a także </w:t>
      </w:r>
      <w:r>
        <w:rPr>
          <w:szCs w:val="22"/>
        </w:rPr>
        <w:br/>
      </w:r>
      <w:r w:rsidRPr="00F25573">
        <w:rPr>
          <w:szCs w:val="22"/>
        </w:rPr>
        <w:t>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>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szCs w:val="22"/>
        </w:rPr>
        <w:br/>
      </w:r>
      <w:r w:rsidRPr="00F25573">
        <w:rPr>
          <w:szCs w:val="22"/>
        </w:rPr>
        <w:t>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spółki komandytowe oraz spółki komandytowo-akcyjne, których komplementariusza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</w:t>
      </w:r>
      <w:r>
        <w:rPr>
          <w:szCs w:val="22"/>
        </w:rPr>
        <w:br/>
      </w:r>
      <w:r w:rsidRPr="00F25573">
        <w:rPr>
          <w:szCs w:val="22"/>
        </w:rPr>
        <w:t>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6734F8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pod groźbą kary</w:t>
      </w:r>
      <w:r w:rsidR="006734F8">
        <w:rPr>
          <w:szCs w:val="22"/>
        </w:rPr>
        <w:t>;</w:t>
      </w:r>
    </w:p>
    <w:p w:rsidR="006734F8" w:rsidRDefault="006734F8" w:rsidP="006734F8">
      <w:pPr>
        <w:pStyle w:val="Tekstpodstawowywcity"/>
        <w:numPr>
          <w:ilvl w:val="0"/>
          <w:numId w:val="4"/>
        </w:numPr>
      </w:pPr>
      <w: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6734F8" w:rsidRDefault="00611989" w:rsidP="006734F8">
      <w:pPr>
        <w:pStyle w:val="Tekstpodstawowywcity"/>
        <w:numPr>
          <w:ilvl w:val="0"/>
          <w:numId w:val="4"/>
        </w:numPr>
      </w:pPr>
      <w:r>
        <w:t>wykonawców będących spółką jawną, spółką partnerską, spółką komandytową, spółką komandytowo-akcyjną lub osobą prawną</w:t>
      </w:r>
      <w:r w:rsidR="006734F8">
        <w:t>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</w:t>
      </w:r>
      <w:r>
        <w:t xml:space="preserve">spolitej Polskiej – przez okres </w:t>
      </w:r>
      <w:r w:rsidR="006734F8">
        <w:t>1 roku od dnia uprawomocnienia się wyroku.</w:t>
      </w:r>
    </w:p>
    <w:p w:rsidR="006734F8" w:rsidRPr="00415097" w:rsidRDefault="006734F8" w:rsidP="006734F8">
      <w:pPr>
        <w:pStyle w:val="Tekstpodstawowywcity"/>
        <w:ind w:left="357" w:firstLine="0"/>
      </w:pPr>
    </w:p>
    <w:p w:rsidR="00415097" w:rsidRPr="00415097" w:rsidRDefault="00415097" w:rsidP="00415097">
      <w:pPr>
        <w:pStyle w:val="Tekstpodstawowywcity"/>
        <w:ind w:firstLine="0"/>
      </w:pPr>
    </w:p>
    <w:p w:rsidR="00415097" w:rsidRPr="00415097" w:rsidRDefault="00415097" w:rsidP="00415097">
      <w:pPr>
        <w:pStyle w:val="Tekstpodstawowywcity"/>
        <w:ind w:firstLine="0"/>
        <w:rPr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A46EFE" w:rsidRPr="00513E43" w:rsidRDefault="00A46EFE" w:rsidP="00415097">
      <w:pPr>
        <w:pStyle w:val="Tekstpodstawowywcity"/>
        <w:numPr>
          <w:ilvl w:val="0"/>
          <w:numId w:val="7"/>
        </w:numPr>
      </w:pPr>
      <w:r w:rsidRPr="00F25573">
        <w:rPr>
          <w:szCs w:val="22"/>
        </w:rPr>
        <w:t xml:space="preserve">wykonywali bezpośrednio czynności związane z przygotowaniem prowadzonego postępowania lub posługiwali się w celu sporządzenia oferty osobami uczestniczącymi </w:t>
      </w:r>
      <w:r>
        <w:rPr>
          <w:szCs w:val="22"/>
        </w:rPr>
        <w:t xml:space="preserve">   </w:t>
      </w:r>
      <w:r w:rsidRPr="00F25573">
        <w:rPr>
          <w:szCs w:val="22"/>
        </w:rPr>
        <w:t xml:space="preserve">w dokonywaniu tych czynności, chyba że udział tych wykonawców w postępowaniu nie utrudni uczciwej konkurencji; przepisu nie stosuje się do wykonawców, którym udziela </w:t>
      </w:r>
      <w:r w:rsidRPr="00F25573">
        <w:rPr>
          <w:szCs w:val="22"/>
        </w:rPr>
        <w:lastRenderedPageBreak/>
        <w:t>się zamówienia na podstawie art. 62 ust. 1 pkt 2 lub art. 67 ust. 1 pkt 1 i 2</w:t>
      </w:r>
      <w:r>
        <w:rPr>
          <w:szCs w:val="22"/>
        </w:rPr>
        <w:t xml:space="preserve"> </w:t>
      </w:r>
      <w:r>
        <w:t xml:space="preserve">ustawy Prawo Zamówień Publicznych </w:t>
      </w:r>
      <w:r w:rsidR="00AB7377">
        <w:t>(</w:t>
      </w:r>
      <w:r w:rsidR="00460820">
        <w:t>Dz. U. z 2010 r. Nr 113, poz. 759, z późn. zm.</w:t>
      </w:r>
      <w:r w:rsidR="00AB7377">
        <w:t>)</w:t>
      </w:r>
      <w:r w:rsidRPr="00F25573">
        <w:rPr>
          <w:szCs w:val="22"/>
        </w:rPr>
        <w:t>;</w:t>
      </w:r>
    </w:p>
    <w:p w:rsidR="00A46EFE" w:rsidRPr="00513E43" w:rsidRDefault="00A46EFE" w:rsidP="009A21D7">
      <w:pPr>
        <w:pStyle w:val="Tekstpodstawowywcity"/>
        <w:numPr>
          <w:ilvl w:val="0"/>
          <w:numId w:val="7"/>
        </w:numPr>
      </w:pPr>
      <w:r w:rsidRPr="00F25573">
        <w:rPr>
          <w:szCs w:val="22"/>
        </w:rPr>
        <w:t xml:space="preserve">nie wnieśli wadium do </w:t>
      </w:r>
      <w:r w:rsidR="00A807A7">
        <w:rPr>
          <w:szCs w:val="22"/>
        </w:rPr>
        <w:t xml:space="preserve">upływu terminu składania ofert, </w:t>
      </w:r>
      <w:r w:rsidRPr="00F25573">
        <w:rPr>
          <w:szCs w:val="22"/>
        </w:rPr>
        <w:t>na przedłużony okres związania ofertą lub w terminie, o którym mowa w art. 46 ust. 3</w:t>
      </w:r>
      <w:r>
        <w:rPr>
          <w:szCs w:val="22"/>
        </w:rPr>
        <w:t xml:space="preserve"> </w:t>
      </w:r>
      <w:r>
        <w:t xml:space="preserve">ustawy Prawo Zamówień Publicznych </w:t>
      </w:r>
      <w:r w:rsidR="00AB7377">
        <w:t>(</w:t>
      </w:r>
      <w:r w:rsidR="00460820">
        <w:t>Dz. U. z 2010 r. Nr 113, poz. 759, z późn. zm.</w:t>
      </w:r>
      <w:r w:rsidR="00AB7377">
        <w:t>)</w:t>
      </w:r>
      <w:r w:rsidRPr="00F25573">
        <w:rPr>
          <w:szCs w:val="22"/>
        </w:rPr>
        <w:t>, albo nie zgodzili się na przedłużenie okresu związania ofertą;</w:t>
      </w:r>
    </w:p>
    <w:p w:rsidR="002B1E07" w:rsidRDefault="00A46EFE" w:rsidP="009A21D7">
      <w:pPr>
        <w:pStyle w:val="Tekstpodstawowywcity"/>
        <w:numPr>
          <w:ilvl w:val="0"/>
          <w:numId w:val="7"/>
        </w:numPr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Pr="002B1E07" w:rsidRDefault="00A46EFE" w:rsidP="009A21D7">
      <w:pPr>
        <w:pStyle w:val="Tekstpodstawowywcity"/>
        <w:numPr>
          <w:ilvl w:val="0"/>
          <w:numId w:val="7"/>
        </w:numPr>
      </w:pPr>
      <w:r w:rsidRPr="00F25573">
        <w:t>nie wykazali spełniania warunków udziału w postępowaniu</w:t>
      </w:r>
      <w:r w:rsidRPr="00F25573">
        <w:rPr>
          <w:lang w:eastAsia="en-US"/>
        </w:rPr>
        <w:t>.</w:t>
      </w: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F568D6" w:rsidP="00F568D6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F568D6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F0" w:rsidRDefault="00DA3EF0">
      <w:r>
        <w:separator/>
      </w:r>
    </w:p>
  </w:endnote>
  <w:endnote w:type="continuationSeparator" w:id="0">
    <w:p w:rsidR="00DA3EF0" w:rsidRDefault="00DA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157666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105594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15766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157666">
      <w:rPr>
        <w:rStyle w:val="Numerstrony"/>
        <w:rFonts w:ascii="Arial" w:hAnsi="Arial"/>
        <w:sz w:val="18"/>
        <w:szCs w:val="18"/>
      </w:rPr>
      <w:fldChar w:fldCharType="separate"/>
    </w:r>
    <w:r w:rsidR="00105594">
      <w:rPr>
        <w:rStyle w:val="Numerstrony"/>
        <w:rFonts w:ascii="Arial" w:hAnsi="Arial"/>
        <w:noProof/>
        <w:sz w:val="18"/>
        <w:szCs w:val="18"/>
      </w:rPr>
      <w:t>1</w:t>
    </w:r>
    <w:r w:rsidR="00157666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15766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157666">
      <w:rPr>
        <w:rStyle w:val="Numerstrony"/>
        <w:rFonts w:ascii="Arial" w:hAnsi="Arial"/>
        <w:sz w:val="18"/>
        <w:szCs w:val="18"/>
      </w:rPr>
      <w:fldChar w:fldCharType="separate"/>
    </w:r>
    <w:r w:rsidR="00105594">
      <w:rPr>
        <w:rStyle w:val="Numerstrony"/>
        <w:rFonts w:ascii="Arial" w:hAnsi="Arial"/>
        <w:noProof/>
        <w:sz w:val="18"/>
        <w:szCs w:val="18"/>
      </w:rPr>
      <w:t>3</w:t>
    </w:r>
    <w:r w:rsidR="00157666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E8E" w:rsidRDefault="004C0E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F0" w:rsidRDefault="00DA3EF0">
      <w:r>
        <w:separator/>
      </w:r>
    </w:p>
  </w:footnote>
  <w:footnote w:type="continuationSeparator" w:id="0">
    <w:p w:rsidR="00DA3EF0" w:rsidRDefault="00DA3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E8E" w:rsidRDefault="004C0E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E8E" w:rsidRDefault="004C0E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E8E" w:rsidRDefault="004C0E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CC"/>
    <w:rsid w:val="00105594"/>
    <w:rsid w:val="00111985"/>
    <w:rsid w:val="00157666"/>
    <w:rsid w:val="001614BA"/>
    <w:rsid w:val="002B1E07"/>
    <w:rsid w:val="002C2DE7"/>
    <w:rsid w:val="002D3BDF"/>
    <w:rsid w:val="003024A8"/>
    <w:rsid w:val="00336EEB"/>
    <w:rsid w:val="003F6927"/>
    <w:rsid w:val="00415097"/>
    <w:rsid w:val="00422381"/>
    <w:rsid w:val="00452A9D"/>
    <w:rsid w:val="00460820"/>
    <w:rsid w:val="004704CB"/>
    <w:rsid w:val="004C0E8E"/>
    <w:rsid w:val="004C55DE"/>
    <w:rsid w:val="004D5C77"/>
    <w:rsid w:val="00533E9F"/>
    <w:rsid w:val="00556AE5"/>
    <w:rsid w:val="0056132E"/>
    <w:rsid w:val="005A5013"/>
    <w:rsid w:val="005C3627"/>
    <w:rsid w:val="00611989"/>
    <w:rsid w:val="00664D2F"/>
    <w:rsid w:val="006734F8"/>
    <w:rsid w:val="006B51E7"/>
    <w:rsid w:val="00736B31"/>
    <w:rsid w:val="00747C6F"/>
    <w:rsid w:val="008460DE"/>
    <w:rsid w:val="00882E9F"/>
    <w:rsid w:val="008A3634"/>
    <w:rsid w:val="008C7226"/>
    <w:rsid w:val="008D4CAF"/>
    <w:rsid w:val="008E370F"/>
    <w:rsid w:val="009A21D7"/>
    <w:rsid w:val="00A24942"/>
    <w:rsid w:val="00A46EFE"/>
    <w:rsid w:val="00A807A7"/>
    <w:rsid w:val="00AB7377"/>
    <w:rsid w:val="00B26102"/>
    <w:rsid w:val="00B9079F"/>
    <w:rsid w:val="00BE6092"/>
    <w:rsid w:val="00CB0FD2"/>
    <w:rsid w:val="00CB2565"/>
    <w:rsid w:val="00CB6204"/>
    <w:rsid w:val="00CC527A"/>
    <w:rsid w:val="00DA3EF0"/>
    <w:rsid w:val="00DC0BCC"/>
    <w:rsid w:val="00DD482A"/>
    <w:rsid w:val="00DE0405"/>
    <w:rsid w:val="00DE252B"/>
    <w:rsid w:val="00EB5766"/>
    <w:rsid w:val="00EC667E"/>
    <w:rsid w:val="00F46593"/>
    <w:rsid w:val="00F5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cp:lastPrinted>2010-01-07T09:39:00Z</cp:lastPrinted>
  <dcterms:created xsi:type="dcterms:W3CDTF">2013-01-22T12:01:00Z</dcterms:created>
  <dcterms:modified xsi:type="dcterms:W3CDTF">2013-01-22T12:01:00Z</dcterms:modified>
</cp:coreProperties>
</file>