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DB4" w:rsidRPr="00520DB4" w:rsidRDefault="00520DB4" w:rsidP="004B3E75">
      <w:pPr>
        <w:jc w:val="both"/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520DB4">
        <w:t>Śrem, …. września 2012r.</w:t>
      </w:r>
    </w:p>
    <w:p w:rsidR="00520DB4" w:rsidRDefault="00520DB4" w:rsidP="004B3E75">
      <w:pPr>
        <w:jc w:val="both"/>
      </w:pPr>
      <w:r>
        <w:t>PAOOR.0003.9.2012.DJ</w:t>
      </w:r>
    </w:p>
    <w:p w:rsidR="00520DB4" w:rsidRDefault="00520DB4" w:rsidP="004B3E75">
      <w:pPr>
        <w:jc w:val="both"/>
      </w:pPr>
    </w:p>
    <w:p w:rsidR="00520DB4" w:rsidRDefault="00520DB4" w:rsidP="004B3E75">
      <w:pPr>
        <w:jc w:val="both"/>
      </w:pPr>
    </w:p>
    <w:p w:rsidR="00520DB4" w:rsidRPr="00520DB4" w:rsidRDefault="00520DB4" w:rsidP="004B3E75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20DB4">
        <w:rPr>
          <w:b/>
        </w:rPr>
        <w:t>Pani</w:t>
      </w:r>
    </w:p>
    <w:p w:rsidR="00520DB4" w:rsidRPr="00520DB4" w:rsidRDefault="00520DB4" w:rsidP="004B3E75">
      <w:pPr>
        <w:jc w:val="both"/>
        <w:rPr>
          <w:b/>
        </w:rPr>
      </w:pP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  <w:t>Katarzyna Sarnowska</w:t>
      </w:r>
    </w:p>
    <w:p w:rsidR="00520DB4" w:rsidRPr="00520DB4" w:rsidRDefault="00520DB4" w:rsidP="004B3E75">
      <w:pPr>
        <w:jc w:val="both"/>
        <w:rPr>
          <w:b/>
        </w:rPr>
      </w:pP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</w:p>
    <w:p w:rsidR="00520DB4" w:rsidRPr="00520DB4" w:rsidRDefault="00520DB4" w:rsidP="004B3E75">
      <w:pPr>
        <w:jc w:val="both"/>
        <w:rPr>
          <w:b/>
        </w:rPr>
      </w:pP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  <w:t>Przewodnicząca Rady Miejskiej</w:t>
      </w:r>
    </w:p>
    <w:p w:rsidR="00520DB4" w:rsidRPr="00520DB4" w:rsidRDefault="00520DB4" w:rsidP="004B3E75">
      <w:pPr>
        <w:jc w:val="both"/>
        <w:rPr>
          <w:b/>
        </w:rPr>
      </w:pP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</w:r>
      <w:r w:rsidRPr="00520DB4">
        <w:rPr>
          <w:b/>
        </w:rPr>
        <w:tab/>
        <w:t>W Śremie</w:t>
      </w:r>
    </w:p>
    <w:p w:rsidR="00520DB4" w:rsidRDefault="00520DB4" w:rsidP="004B3E75">
      <w:pPr>
        <w:jc w:val="both"/>
        <w:rPr>
          <w:b/>
        </w:rPr>
      </w:pPr>
    </w:p>
    <w:p w:rsidR="00520DB4" w:rsidRDefault="00520DB4" w:rsidP="004B3E75">
      <w:pPr>
        <w:jc w:val="both"/>
        <w:rPr>
          <w:b/>
        </w:rPr>
      </w:pPr>
    </w:p>
    <w:p w:rsidR="004B3E75" w:rsidRPr="00520DB4" w:rsidRDefault="00520DB4" w:rsidP="004B3E75">
      <w:pPr>
        <w:jc w:val="both"/>
      </w:pPr>
      <w:r>
        <w:rPr>
          <w:b/>
        </w:rPr>
        <w:tab/>
      </w:r>
      <w:r w:rsidR="00D64575">
        <w:t>Odpowiadając na interpelacje złożone na  XXI  posiedzeniu s</w:t>
      </w:r>
      <w:r w:rsidRPr="00520DB4">
        <w:t xml:space="preserve">esji Rady Miejskiej </w:t>
      </w:r>
      <w:r>
        <w:t xml:space="preserve">  </w:t>
      </w:r>
      <w:r w:rsidRPr="00520DB4">
        <w:t>w Śremie</w:t>
      </w:r>
      <w:r>
        <w:t xml:space="preserve"> </w:t>
      </w:r>
      <w:r w:rsidR="00D64575">
        <w:t xml:space="preserve">  </w:t>
      </w:r>
      <w:r>
        <w:t>21 sierpnia 2012r. informuję:</w:t>
      </w:r>
    </w:p>
    <w:p w:rsidR="004B3E75" w:rsidRDefault="004B3E75" w:rsidP="004B3E75">
      <w:pPr>
        <w:jc w:val="both"/>
        <w:rPr>
          <w:b/>
        </w:rPr>
      </w:pPr>
    </w:p>
    <w:p w:rsidR="004B3E75" w:rsidRPr="00ED7CA4" w:rsidRDefault="004B3E75" w:rsidP="004B3E75">
      <w:pPr>
        <w:jc w:val="both"/>
        <w:rPr>
          <w:b/>
        </w:rPr>
      </w:pPr>
      <w:r w:rsidRPr="00ED7CA4">
        <w:rPr>
          <w:b/>
        </w:rPr>
        <w:t xml:space="preserve">Radny Andrzej </w:t>
      </w:r>
      <w:proofErr w:type="spellStart"/>
      <w:r w:rsidRPr="00ED7CA4">
        <w:rPr>
          <w:b/>
        </w:rPr>
        <w:t>Mieloszyński</w:t>
      </w:r>
      <w:proofErr w:type="spellEnd"/>
      <w:r w:rsidRPr="00ED7CA4">
        <w:rPr>
          <w:b/>
        </w:rPr>
        <w:t xml:space="preserve"> złożył 4 interpelacje :</w:t>
      </w:r>
    </w:p>
    <w:p w:rsidR="004B3E75" w:rsidRDefault="004B3E75" w:rsidP="004B3E75">
      <w:pPr>
        <w:ind w:left="426" w:hanging="426"/>
        <w:jc w:val="both"/>
        <w:rPr>
          <w:szCs w:val="28"/>
        </w:rPr>
      </w:pPr>
    </w:p>
    <w:p w:rsidR="004B3E75" w:rsidRPr="00A46FA6" w:rsidRDefault="004B3E75" w:rsidP="00A46FA6">
      <w:pPr>
        <w:pStyle w:val="Akapitzlist"/>
        <w:numPr>
          <w:ilvl w:val="0"/>
          <w:numId w:val="5"/>
        </w:numPr>
        <w:jc w:val="both"/>
        <w:rPr>
          <w:b/>
          <w:szCs w:val="28"/>
        </w:rPr>
      </w:pPr>
      <w:r w:rsidRPr="00A46FA6">
        <w:rPr>
          <w:szCs w:val="28"/>
        </w:rPr>
        <w:t xml:space="preserve"> </w:t>
      </w:r>
      <w:r w:rsidRPr="00A46FA6">
        <w:rPr>
          <w:b/>
          <w:szCs w:val="28"/>
        </w:rPr>
        <w:t>w sprawie mienia komunalnego dotyczącego spółki Korporacja Centrum Logistyczne „Mój Sklep” S.A. oraz Fundacja Śrem XXI wieku,</w:t>
      </w:r>
    </w:p>
    <w:p w:rsidR="004D296F" w:rsidRPr="007F11E5" w:rsidRDefault="004D296F" w:rsidP="004D296F">
      <w:pPr>
        <w:pStyle w:val="Akapitzlist"/>
        <w:jc w:val="both"/>
      </w:pPr>
      <w:r>
        <w:t>P</w:t>
      </w:r>
      <w:r w:rsidRPr="007F11E5">
        <w:t>odjęto Uchwałę nr 56/VI/03 Rady Miejskiej w Śremie  z dnia 26 lutego</w:t>
      </w:r>
      <w:r>
        <w:br/>
      </w:r>
      <w:r w:rsidRPr="007F11E5">
        <w:t>2003 r. w sprawie wystąpienia gminy Śrem z Korporacji Centrum Logistyczne „Mój Sklep” S.A. Podobne uchwały podjęła znaczna część akcjonariuszy Spółki (gminy).</w:t>
      </w:r>
    </w:p>
    <w:p w:rsidR="004D296F" w:rsidRPr="007F11E5" w:rsidRDefault="004D296F" w:rsidP="004D296F">
      <w:pPr>
        <w:pStyle w:val="Akapitzlist"/>
        <w:jc w:val="both"/>
      </w:pPr>
      <w:r w:rsidRPr="007F11E5">
        <w:t>Od momentu podjęcia ww. uchwały prowadzona jest wymiana korespondencji z Panem Kajetanem Pyrzyńskim – pomysłodawcą stworzenia Korporacji Centrum Logistyczne „Mój Sklep” S.A., celem pozyskania informacji o podejmowanych i planowanych działaniach mających zmierzać do zakończenia działalności KCL „Mój Sklep” S.A. wraz z prośbą dostarczenia wszystkich sporządzonych dokumentów od dnia założenia Spółki do czerwca 2012 r. , m.in.:</w:t>
      </w:r>
    </w:p>
    <w:p w:rsidR="004D296F" w:rsidRPr="007F11E5" w:rsidRDefault="004D296F" w:rsidP="004D296F">
      <w:pPr>
        <w:pStyle w:val="Akapitzlist"/>
        <w:numPr>
          <w:ilvl w:val="0"/>
          <w:numId w:val="3"/>
        </w:numPr>
        <w:jc w:val="both"/>
      </w:pPr>
      <w:r w:rsidRPr="007F11E5">
        <w:t>Sprawozdanie finansowe Spółki (pełne sprawozdanie tj. bilans, rachunek zysków i strat, zestawienie zmian w kapitale, rachunek przepływów pieniężnych, informację dodatkową),</w:t>
      </w:r>
    </w:p>
    <w:p w:rsidR="004D296F" w:rsidRPr="007F11E5" w:rsidRDefault="004D296F" w:rsidP="004D296F">
      <w:pPr>
        <w:pStyle w:val="Akapitzlist"/>
        <w:numPr>
          <w:ilvl w:val="0"/>
          <w:numId w:val="3"/>
        </w:numPr>
        <w:jc w:val="both"/>
      </w:pPr>
      <w:r w:rsidRPr="007F11E5">
        <w:t>Sprawozdanie Zarządu z działalności jednostki,</w:t>
      </w:r>
    </w:p>
    <w:p w:rsidR="004D296F" w:rsidRPr="007F11E5" w:rsidRDefault="004D296F" w:rsidP="004D296F">
      <w:pPr>
        <w:pStyle w:val="Akapitzlist"/>
        <w:numPr>
          <w:ilvl w:val="0"/>
          <w:numId w:val="3"/>
        </w:numPr>
        <w:jc w:val="both"/>
      </w:pPr>
      <w:r w:rsidRPr="007F11E5">
        <w:t>Raport i Opinię z badania sprawozdania finansowego, jednostka bowiem z uwagi na formę prawną (S.A.) podlegała obligatoryjnemu badaniu (art. 64 Ustawy o rachunkowości),</w:t>
      </w:r>
    </w:p>
    <w:p w:rsidR="004D296F" w:rsidRPr="007F11E5" w:rsidRDefault="004D296F" w:rsidP="004D296F">
      <w:pPr>
        <w:pStyle w:val="Akapitzlist"/>
        <w:numPr>
          <w:ilvl w:val="0"/>
          <w:numId w:val="3"/>
        </w:numPr>
        <w:jc w:val="both"/>
      </w:pPr>
      <w:r w:rsidRPr="007F11E5">
        <w:t>Potwierdzenie złożenia Sprawozdania finansowego w Sądzie Rejestrowym oraz właściwym Urzędzie Skarbowym,</w:t>
      </w:r>
    </w:p>
    <w:p w:rsidR="004D296F" w:rsidRPr="007F11E5" w:rsidRDefault="004D296F" w:rsidP="004D296F">
      <w:pPr>
        <w:pStyle w:val="Akapitzlist"/>
        <w:numPr>
          <w:ilvl w:val="0"/>
          <w:numId w:val="3"/>
        </w:numPr>
        <w:jc w:val="both"/>
      </w:pPr>
      <w:r w:rsidRPr="007F11E5">
        <w:t>Ewidencję środków trwałych i wartości niematerialnych i prawnych (aktualną),</w:t>
      </w:r>
    </w:p>
    <w:p w:rsidR="004D296F" w:rsidRPr="007F11E5" w:rsidRDefault="004D296F" w:rsidP="004D296F">
      <w:pPr>
        <w:pStyle w:val="Akapitzlist"/>
        <w:numPr>
          <w:ilvl w:val="0"/>
          <w:numId w:val="3"/>
        </w:numPr>
        <w:jc w:val="both"/>
      </w:pPr>
      <w:r w:rsidRPr="007F11E5">
        <w:t>Informację o aktualnym stanie zobowiązań i należności tj. szczegółowy wykaz wraz z okresem zalegania/przeterminowania,</w:t>
      </w:r>
    </w:p>
    <w:p w:rsidR="004D296F" w:rsidRPr="007F11E5" w:rsidRDefault="004D296F" w:rsidP="004D296F">
      <w:pPr>
        <w:pStyle w:val="Akapitzlist"/>
        <w:numPr>
          <w:ilvl w:val="0"/>
          <w:numId w:val="3"/>
        </w:numPr>
        <w:jc w:val="both"/>
      </w:pPr>
      <w:r w:rsidRPr="007F11E5">
        <w:lastRenderedPageBreak/>
        <w:t>Informację o postaci Oświadczenia Zarządu o toczących się przeciwko Spółce postępowaniach sądowych oraz o postępowaniach z ramienia Spółki,</w:t>
      </w:r>
    </w:p>
    <w:p w:rsidR="004D296F" w:rsidRPr="007F11E5" w:rsidRDefault="004D296F" w:rsidP="004D296F">
      <w:pPr>
        <w:pStyle w:val="Akapitzlist"/>
        <w:numPr>
          <w:ilvl w:val="0"/>
          <w:numId w:val="3"/>
        </w:numPr>
        <w:jc w:val="both"/>
      </w:pPr>
      <w:r w:rsidRPr="007F11E5">
        <w:t>Aktualny wypis z KRS (pełny) z datą nie starszą niż 3 miesiące.</w:t>
      </w:r>
    </w:p>
    <w:p w:rsidR="004D296F" w:rsidRPr="007F11E5" w:rsidRDefault="004D296F" w:rsidP="00A46FA6">
      <w:pPr>
        <w:pStyle w:val="Akapitzlist"/>
        <w:ind w:left="0"/>
        <w:jc w:val="both"/>
      </w:pPr>
      <w:r w:rsidRPr="007F11E5">
        <w:tab/>
        <w:t>Wskazana wyżej dokumentacja źródłowa ma być podstawą do rozpoczęcia czynności związanych z wyceną wartości rynkowej Korporacji Centrum Logistyczne "Mój Sklep" S.A. oraz umożliwi p</w:t>
      </w:r>
      <w:r>
        <w:t xml:space="preserve">odjęcie decyzji </w:t>
      </w:r>
      <w:r w:rsidRPr="007F11E5">
        <w:t>o dalszym postępowaniu np.: czy postawić spółkę</w:t>
      </w:r>
      <w:r>
        <w:br/>
      </w:r>
      <w:r w:rsidRPr="007F11E5">
        <w:t>w stan likwidacji lub czy sprzedać akcje Spółki (sprzedaż akcji – wymagany jest poświ</w:t>
      </w:r>
      <w:r>
        <w:t xml:space="preserve">adczony bilans).  Jednak do </w:t>
      </w:r>
      <w:r w:rsidRPr="007F11E5">
        <w:t xml:space="preserve"> 28 sierpnia 2012 r. nie otrzymaliśmy żadnych dokumentów. </w:t>
      </w:r>
    </w:p>
    <w:p w:rsidR="004D296F" w:rsidRPr="007F11E5" w:rsidRDefault="004D296F" w:rsidP="00A46FA6">
      <w:pPr>
        <w:pStyle w:val="Akapitzlist"/>
        <w:ind w:left="0"/>
        <w:jc w:val="both"/>
      </w:pPr>
      <w:r w:rsidRPr="007F11E5">
        <w:t xml:space="preserve">Trudności z uzyskaniem ww. dokumentów oraz rozwiązania Korporacji Centrum Logistyczne „Mój Sklep” związane są również </w:t>
      </w:r>
      <w:r>
        <w:br/>
      </w:r>
      <w:r w:rsidRPr="007F11E5">
        <w:t xml:space="preserve">z wygaśnięciem kadencji Członków Zarządu, brakiem środków </w:t>
      </w:r>
      <w:r>
        <w:t xml:space="preserve">na </w:t>
      </w:r>
      <w:r w:rsidRPr="007F11E5">
        <w:t>przeprowadzenie procesu likwidacyjnego (np. na pokrycie: ewentualnych wierzycieli, kosztów likwidacji Spółki) oraz zmianą kadry pracowniczej w gminach będących akcjonariuszami Spółki – pracownic</w:t>
      </w:r>
      <w:r>
        <w:t xml:space="preserve">y części gmin posiadają wiedzę </w:t>
      </w:r>
      <w:r w:rsidRPr="007F11E5">
        <w:t xml:space="preserve">o przedmiotowej Spółki jedynie z korespondencji, która jest im wysyłana do wiadomości.  </w:t>
      </w:r>
    </w:p>
    <w:p w:rsidR="004D296F" w:rsidRDefault="004D296F" w:rsidP="00A46FA6">
      <w:pPr>
        <w:pStyle w:val="Akapitzlist"/>
        <w:ind w:left="0"/>
        <w:jc w:val="both"/>
      </w:pPr>
      <w:r>
        <w:t xml:space="preserve">Nadmieniam, że </w:t>
      </w:r>
      <w:r w:rsidRPr="007F11E5">
        <w:t xml:space="preserve"> 27 sierpnia 2012 r. odbyło się spotkanie Pana Kajetana Pyrzyńskiego z Burmistrzem Śremu w na którym podjęto wstępne rozmowy dotyczące rozwiązania KCL „Mój Sklep” S.A. (planowane j</w:t>
      </w:r>
      <w:r>
        <w:t>est również kolejne spotkanie).</w:t>
      </w:r>
    </w:p>
    <w:p w:rsidR="00680572" w:rsidRDefault="00680572" w:rsidP="00680572">
      <w:pPr>
        <w:ind w:firstLine="708"/>
        <w:jc w:val="both"/>
        <w:rPr>
          <w:szCs w:val="28"/>
        </w:rPr>
      </w:pPr>
    </w:p>
    <w:p w:rsidR="00680572" w:rsidRDefault="00680572" w:rsidP="00680572">
      <w:pPr>
        <w:ind w:firstLine="708"/>
        <w:jc w:val="both"/>
        <w:rPr>
          <w:szCs w:val="28"/>
        </w:rPr>
      </w:pPr>
      <w:r>
        <w:rPr>
          <w:szCs w:val="28"/>
        </w:rPr>
        <w:t xml:space="preserve">Odnośnie Fundacji Śrem XXI wieku informuję, </w:t>
      </w:r>
      <w:r w:rsidR="00C57D1C">
        <w:rPr>
          <w:szCs w:val="28"/>
        </w:rPr>
        <w:t xml:space="preserve">że Fundacja  </w:t>
      </w:r>
      <w:r>
        <w:rPr>
          <w:szCs w:val="28"/>
        </w:rPr>
        <w:t xml:space="preserve"> nadal widnieje w Krajowym Rejestrze Sądowym,  jednak o jej działaniach gmina Śrem nie może się wypowiedzieć, ponieważ nie współpracuje bezpośrednio </w:t>
      </w:r>
      <w:r w:rsidR="00C57D1C">
        <w:rPr>
          <w:szCs w:val="28"/>
        </w:rPr>
        <w:t xml:space="preserve">      </w:t>
      </w:r>
      <w:r>
        <w:rPr>
          <w:szCs w:val="28"/>
        </w:rPr>
        <w:t xml:space="preserve">z Fundacją. </w:t>
      </w:r>
    </w:p>
    <w:p w:rsidR="00680572" w:rsidRDefault="00680572" w:rsidP="00680572">
      <w:pPr>
        <w:ind w:firstLine="708"/>
        <w:jc w:val="both"/>
        <w:rPr>
          <w:szCs w:val="28"/>
        </w:rPr>
      </w:pPr>
      <w:r>
        <w:rPr>
          <w:szCs w:val="28"/>
        </w:rPr>
        <w:t xml:space="preserve">Fundacja nie przekazuje również sprawozdań ze swojej działalności do Krajowego Rejestru Sądowego, co wskazuje na brak jakichkolwiek działań. </w:t>
      </w:r>
    </w:p>
    <w:p w:rsidR="00680572" w:rsidRDefault="00680572" w:rsidP="00680572">
      <w:pPr>
        <w:ind w:firstLine="708"/>
        <w:jc w:val="both"/>
        <w:rPr>
          <w:szCs w:val="28"/>
        </w:rPr>
      </w:pPr>
      <w:r>
        <w:rPr>
          <w:szCs w:val="28"/>
        </w:rPr>
        <w:t xml:space="preserve">Gmina ze swojej strony każdego roku daje możliwość wszystkim działającym organizacjom i stowarzyszeniom udziału w realizacji zadań publicznych, poprzez udzielenie im dotacji. Do grudnia 2011r., kiedy ostatnio ogłoszono otwarty konkurs ofert na realizację zadań na 2012r., Fundacja nie złożyła żadnej oferty.  </w:t>
      </w:r>
    </w:p>
    <w:p w:rsidR="00680572" w:rsidRDefault="00680572" w:rsidP="004D296F">
      <w:pPr>
        <w:pStyle w:val="Akapitzlist"/>
        <w:jc w:val="both"/>
      </w:pPr>
    </w:p>
    <w:p w:rsidR="004D296F" w:rsidRDefault="004D296F" w:rsidP="004B3E75">
      <w:pPr>
        <w:ind w:left="426" w:hanging="426"/>
        <w:jc w:val="both"/>
      </w:pPr>
    </w:p>
    <w:p w:rsidR="004B3E75" w:rsidRPr="00ED7CA4" w:rsidRDefault="004B3E75" w:rsidP="004B3E75">
      <w:pPr>
        <w:jc w:val="both"/>
        <w:rPr>
          <w:b/>
          <w:szCs w:val="28"/>
        </w:rPr>
      </w:pPr>
      <w:r>
        <w:rPr>
          <w:szCs w:val="28"/>
        </w:rPr>
        <w:t xml:space="preserve">► </w:t>
      </w:r>
      <w:r w:rsidRPr="00ED7CA4">
        <w:rPr>
          <w:b/>
          <w:szCs w:val="28"/>
        </w:rPr>
        <w:t>w sprawie kwestii finansowych gminy ( 6 punktów do wyjaśnienia ),</w:t>
      </w:r>
    </w:p>
    <w:p w:rsidR="00ED7CA4" w:rsidRDefault="00ED7CA4" w:rsidP="00ED7CA4">
      <w:pPr>
        <w:numPr>
          <w:ilvl w:val="0"/>
          <w:numId w:val="1"/>
        </w:numPr>
        <w:jc w:val="both"/>
      </w:pPr>
      <w:r>
        <w:t>Aktualne zadłużenie gminy - na dzień 31.08.2012 r. - wynosi 44 969 716,27 zł. Szczegółowe zestawienie przedstawia załącznik do pisma.</w:t>
      </w:r>
    </w:p>
    <w:p w:rsidR="00ED7CA4" w:rsidRDefault="00ED7CA4" w:rsidP="00ED7CA4">
      <w:pPr>
        <w:numPr>
          <w:ilvl w:val="0"/>
          <w:numId w:val="1"/>
        </w:numPr>
        <w:jc w:val="both"/>
      </w:pPr>
      <w:r>
        <w:t>Powodem zwiększenia się deficytu jest wyższy wzrost wydatków budżetu niż dochodów budżetu.</w:t>
      </w:r>
    </w:p>
    <w:p w:rsidR="00ED7CA4" w:rsidRDefault="00ED7CA4" w:rsidP="00ED7CA4">
      <w:pPr>
        <w:ind w:left="720"/>
        <w:jc w:val="both"/>
      </w:pPr>
      <w:r>
        <w:lastRenderedPageBreak/>
        <w:t>Stan rachunków bankowych gminy na dzień 30.08.2012 r. wynosił:</w:t>
      </w:r>
    </w:p>
    <w:p w:rsidR="00ED7CA4" w:rsidRDefault="00ED7CA4" w:rsidP="00ED7CA4">
      <w:pPr>
        <w:ind w:left="720"/>
        <w:jc w:val="both"/>
      </w:pPr>
      <w:r>
        <w:t>- dochody urząd       90 941,31 zł,</w:t>
      </w:r>
    </w:p>
    <w:p w:rsidR="00ED7CA4" w:rsidRDefault="00ED7CA4" w:rsidP="00ED7CA4">
      <w:pPr>
        <w:ind w:left="720"/>
        <w:jc w:val="both"/>
      </w:pPr>
      <w:r>
        <w:t>- wydatki urząd          9 071,57 zł,</w:t>
      </w:r>
    </w:p>
    <w:p w:rsidR="00ED7CA4" w:rsidRDefault="00ED7CA4" w:rsidP="00ED7CA4">
      <w:pPr>
        <w:ind w:left="720"/>
        <w:jc w:val="both"/>
      </w:pPr>
      <w:r>
        <w:t>- dochody gmina   -793 233,50 zł.</w:t>
      </w:r>
    </w:p>
    <w:p w:rsidR="00ED7CA4" w:rsidRDefault="00ED7CA4" w:rsidP="00ED7CA4">
      <w:pPr>
        <w:ind w:left="720"/>
        <w:jc w:val="both"/>
      </w:pPr>
      <w:r>
        <w:t>W finansach publicznych nie ma definicji „bieżący deficyt budżetu gminy”. Jak wynika natomiast z ww. danych, przejściowy deficyt na 30.08.2012 r. wyniósł  793 233,50 zł.</w:t>
      </w:r>
    </w:p>
    <w:p w:rsidR="00ED7CA4" w:rsidRDefault="00ED7CA4" w:rsidP="00ED7CA4">
      <w:pPr>
        <w:numPr>
          <w:ilvl w:val="0"/>
          <w:numId w:val="1"/>
        </w:numPr>
        <w:jc w:val="both"/>
      </w:pPr>
      <w:r>
        <w:t>Emisja obligacji w 2012 roku, tak jak to wynika z treści uzasadnienia do uchwały Nr 238/XXIII/2012 z dnia 28 czerwca 2012 r. w sprawie emisji obligacji komunalnych oraz zasad ich zbywania i wykupu, jest też przeznaczona w części na spłatę wcześniej zaciągniętych zobowiązań. W planie budżetu na 2012 rok - wg. stanu na dzień 31.08.2012 r. - planowane zobowiązania to jedynie ww. emisja obligacji. Dzięki emisji obligacji spłacono wcześniej niż pierwotnie zakładano 4 757 783,94 zł.</w:t>
      </w:r>
    </w:p>
    <w:p w:rsidR="00ED7CA4" w:rsidRDefault="00ED7CA4" w:rsidP="00ED7CA4">
      <w:pPr>
        <w:numPr>
          <w:ilvl w:val="0"/>
          <w:numId w:val="1"/>
        </w:numPr>
        <w:jc w:val="both"/>
      </w:pPr>
      <w:r>
        <w:t>Przy prognozowaniu wydatków budżetowych na kolejne lata objęte Wieloletnią Prognozą Finansową założono wzrost inflacyjny wszystkich wydatków bieżących, tj. 2,5% wzrostu do roku 2017 oraz 2,4% wzrostu od roku 2018. W załączniku Nr 3 do uchwały w sprawie uchwalenia Wieloletniej Prognozy Finansowej Gminy Śrem na lata 2012-2022 przedstawiono założenia, które wykorzystano przy prognozowaniu wydatków budżetowych na kolejne lata. Są to:</w:t>
      </w:r>
    </w:p>
    <w:p w:rsidR="00ED7CA4" w:rsidRDefault="00ED7CA4" w:rsidP="00ED7CA4">
      <w:pPr>
        <w:ind w:left="720"/>
        <w:jc w:val="both"/>
      </w:pPr>
    </w:p>
    <w:p w:rsidR="00ED7CA4" w:rsidRDefault="00ED7CA4" w:rsidP="00ED7CA4">
      <w:pPr>
        <w:jc w:val="both"/>
      </w:pPr>
      <w:r>
        <w:t>Wydatki na obsługę długu zaplanowano na podstawie harmonogramów spłat kredytów, pożyczek i obligacji. W 2012 roku planuje się zaciągnąć transze pożyczki z Banku Gospodarstwa Krajowego na prefinansowanie w wysokości 200 000 zł oraz wyemitować obligacje w kwocie 14 850 000 zł, od których zaplanowano wydatki na obsługę długu, zgodnie z planowanymi harmonogramami. Zaplanowano także wydatki na obsługę długu planowanego do zaciągnięcia w 2013 roku.</w:t>
      </w:r>
    </w:p>
    <w:p w:rsidR="00ED7CA4" w:rsidRDefault="00ED7CA4" w:rsidP="00ED7CA4">
      <w:pPr>
        <w:jc w:val="both"/>
      </w:pPr>
    </w:p>
    <w:p w:rsidR="00ED7CA4" w:rsidRDefault="00ED7CA4" w:rsidP="00ED7CA4">
      <w:pPr>
        <w:jc w:val="both"/>
      </w:pPr>
      <w:r>
        <w:t>Wynagrodzenia i składki związane z ich naliczaniem – ze względu na konieczność spełnienia warunków określonych art. 242 ustawy z dnia 27 sierpnia 2009 r. o finansach publicznych nie przewiduje się w 2012 roku wzrostu wynagrodzeń pracowników zatrudnionych w jednostkach organizacyjnych Gminy.</w:t>
      </w:r>
    </w:p>
    <w:p w:rsidR="00ED7CA4" w:rsidRDefault="00ED7CA4" w:rsidP="00ED7CA4">
      <w:pPr>
        <w:jc w:val="both"/>
      </w:pPr>
    </w:p>
    <w:p w:rsidR="00ED7CA4" w:rsidRDefault="00ED7CA4" w:rsidP="00ED7CA4">
      <w:pPr>
        <w:jc w:val="both"/>
      </w:pPr>
      <w:r>
        <w:t>Pozycja „Wydatki związane z funkcjonowaniem organów j.s.t” obejmuje wydatki planowane w rozdziałach 75022 i 75023.</w:t>
      </w:r>
    </w:p>
    <w:p w:rsidR="00ED7CA4" w:rsidRDefault="00ED7CA4" w:rsidP="00ED7CA4">
      <w:pPr>
        <w:jc w:val="both"/>
      </w:pPr>
    </w:p>
    <w:p w:rsidR="00ED7CA4" w:rsidRDefault="00ED7CA4" w:rsidP="00ED7CA4">
      <w:pPr>
        <w:jc w:val="both"/>
      </w:pPr>
      <w:r>
        <w:t>Pozostałe wydatki bieżące zostały w 2012 roku utrzymane na poziomie roku 2011, natomiast w latach kolejnych założono wzrost inflacyjny.</w:t>
      </w:r>
    </w:p>
    <w:p w:rsidR="00ED7CA4" w:rsidRDefault="00ED7CA4" w:rsidP="00ED7CA4">
      <w:pPr>
        <w:jc w:val="both"/>
      </w:pPr>
    </w:p>
    <w:p w:rsidR="00ED7CA4" w:rsidRDefault="00ED7CA4" w:rsidP="00ED7CA4">
      <w:pPr>
        <w:jc w:val="both"/>
      </w:pPr>
      <w:r>
        <w:lastRenderedPageBreak/>
        <w:t>W ramach przedsięwzięć wykazanych w załączniku nr 2 do uchwały, wykazano kwoty wynikające z zawartych już umów lub przewidziane uchwałami rady gminy.</w:t>
      </w:r>
    </w:p>
    <w:p w:rsidR="00ED7CA4" w:rsidRDefault="00ED7CA4" w:rsidP="00ED7CA4">
      <w:pPr>
        <w:jc w:val="both"/>
      </w:pPr>
      <w:r>
        <w:t>W ramach przedsięwzięć obejmujących zadania związane z programami realizowanymi z udziałem środków, o których mowa w art. 5 ust 1 pkt 2 i 3 ustawy z dnia 27 sierpnia 2009 r. o finansach publicznych, wykazano Program Operacyjny Kapitał Ludzki, zadania „Aktywność się opłaca”, „Uczeń jako diament do oszlifowania” oraz „Edukacja Twoją Szansą – wsparcie uczniów i uczennic z gminy Śrem”, Program „Uczenie się przez całe życie” Comenius a także Program Rozwoju Obszarów Wiejskich, zadanie „Budowa sali sportowej w Krzyżanowie”.</w:t>
      </w:r>
    </w:p>
    <w:p w:rsidR="00ED7CA4" w:rsidRDefault="00ED7CA4" w:rsidP="00ED7CA4">
      <w:pPr>
        <w:jc w:val="both"/>
      </w:pPr>
      <w:r>
        <w:t>W ramach przedsięwzięcia obejmującego umowy, których realizacja w roku budżetowym i w latach następnych jest niezbędna do zapewnienia ciągłości działania jednostki i z których wynikające płatności wykraczają poza rok budżetowy wykazano umowy zawarte na: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>usługi telekomunikacyjne (</w:t>
      </w:r>
      <w:proofErr w:type="spellStart"/>
      <w:r>
        <w:t>internet</w:t>
      </w:r>
      <w:proofErr w:type="spellEnd"/>
      <w:r>
        <w:t>),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>usługi komputerowo-informatyczne,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 xml:space="preserve">dofinansowanie nauki, 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 xml:space="preserve">usługi </w:t>
      </w:r>
      <w:proofErr w:type="spellStart"/>
      <w:r>
        <w:t>instalacyjno</w:t>
      </w:r>
      <w:proofErr w:type="spellEnd"/>
      <w:r>
        <w:t xml:space="preserve"> –przeglądowe,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>utrzymanie czystości, pielęgnacja zieleni,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>wykonanie planów zagospodarowania przestrzennego,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>konserwacje sygnalizacji świetlnej,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>opracowanie struktury przedsięwzięcia realizowanego wg formuły PPP,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>obsługę sprzedaży nieruchomości gminnych,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>zarządzanie Cmentarzem Komunalnym,</w:t>
      </w:r>
    </w:p>
    <w:p w:rsidR="00ED7CA4" w:rsidRDefault="00ED7CA4" w:rsidP="00ED7CA4">
      <w:pPr>
        <w:numPr>
          <w:ilvl w:val="0"/>
          <w:numId w:val="2"/>
        </w:numPr>
        <w:jc w:val="both"/>
      </w:pPr>
      <w:r>
        <w:t>zarządzanie obiektami sportu i rekreacji oraz budynkami oświatowymi.</w:t>
      </w:r>
    </w:p>
    <w:p w:rsidR="00ED7CA4" w:rsidRDefault="00ED7CA4" w:rsidP="00ED7CA4">
      <w:pPr>
        <w:ind w:left="720"/>
        <w:jc w:val="both"/>
      </w:pPr>
    </w:p>
    <w:p w:rsidR="00ED7CA4" w:rsidRDefault="00ED7CA4" w:rsidP="00181A63">
      <w:pPr>
        <w:numPr>
          <w:ilvl w:val="0"/>
          <w:numId w:val="1"/>
        </w:numPr>
        <w:ind w:left="0" w:firstLine="360"/>
        <w:jc w:val="both"/>
      </w:pPr>
      <w:r>
        <w:t>Uchwała o zmianie budżetu została przyjęta w pierwszej kolejności, gdyż to w budżecie gminy – zgodnie z art. 212 ust. 1 pkt 6 ustawy o finansach publicznych – Rada Miejska określa kwoty zobowiązań niezbędnych do zrównoważenia budżetu. Uchwała o emisji obligacji jak np. uchwały w sprawie kredytów i pożyczek, jest swego rodzaju wykonaniem (podstawą jest ustawa o samorządzie gminnym) wcześniej uchwalonego budżetu i jego zmian. Kolejność taka jest zgodna z prawem i jest jedyną możliwą w zakresie decydowania o finansach gminy. Przytoczona w interpelacji procedura uchwalania budżetu nie ma zastosowania do wykonywania i zmian budżetu.</w:t>
      </w:r>
    </w:p>
    <w:p w:rsidR="00ED7CA4" w:rsidRDefault="00ED7CA4" w:rsidP="004B3E75">
      <w:pPr>
        <w:numPr>
          <w:ilvl w:val="0"/>
          <w:numId w:val="1"/>
        </w:numPr>
        <w:ind w:left="0" w:firstLine="360"/>
        <w:jc w:val="both"/>
      </w:pPr>
      <w:r>
        <w:t xml:space="preserve">W uchwale Nr 236/XXIII/2012 z dnia 28 czerwca 2012 r. zmieniającej uchwałę w sprawie uchwalenia WPF w wierszu nr 15 i 15 a wyszczególniono, że przy spełnieniu założeń WPF, dopuszczalne wskaźniki zadłużenia ulegają zdecydowanej poprawie i nie są przekroczone w okresie objętym prognozą. Zaznaczyć należy, że prognoza jest tylko przewidywaniem spełnienia się określonych założeń, a nie pewnikiem ich wystąpienia. Każda prognoza obarczona jest zatem ryzykiem wystąpienia innych niż zakładano wyników – </w:t>
      </w:r>
      <w:r>
        <w:lastRenderedPageBreak/>
        <w:t>zarówno in plus, jak i in minus dla budżetu gminy. W celu nie dopuszczenia do przekroczenia dopuszczalnych wskaźników zarówno realizacja budżetu roku 2012, jak i przewidywania lat następnych są na bieżąco monitorowane i w razie potrzeb przedstawiane są Radzie Miejskiej stosowne zmiany zarówno budżetu jak i WPF.</w:t>
      </w:r>
    </w:p>
    <w:p w:rsidR="00181A63" w:rsidRPr="00181A63" w:rsidRDefault="00181A63" w:rsidP="00181A63">
      <w:pPr>
        <w:ind w:left="360"/>
        <w:jc w:val="both"/>
      </w:pPr>
    </w:p>
    <w:p w:rsidR="004B3E75" w:rsidRPr="00803F39" w:rsidRDefault="004B3E75" w:rsidP="004B3E75">
      <w:pPr>
        <w:ind w:left="426" w:hanging="426"/>
        <w:jc w:val="both"/>
        <w:rPr>
          <w:b/>
          <w:szCs w:val="28"/>
        </w:rPr>
      </w:pPr>
      <w:r>
        <w:rPr>
          <w:szCs w:val="28"/>
        </w:rPr>
        <w:t xml:space="preserve">► </w:t>
      </w:r>
      <w:r w:rsidRPr="00803F39">
        <w:rPr>
          <w:b/>
          <w:szCs w:val="28"/>
        </w:rPr>
        <w:t>w sprawie likwidacji kiosku pod mostem oraz likwidacji ławek przy końcówce ul. Kościuszki,</w:t>
      </w:r>
    </w:p>
    <w:p w:rsidR="00805F06" w:rsidRDefault="00805F06" w:rsidP="00805F06">
      <w:pPr>
        <w:suppressAutoHyphens/>
        <w:jc w:val="both"/>
        <w:rPr>
          <w:szCs w:val="28"/>
        </w:rPr>
      </w:pPr>
      <w:r>
        <w:rPr>
          <w:szCs w:val="28"/>
        </w:rPr>
        <w:t>Zgodnie  z decyzją z  25 sierpnia 2011 r. działka ta została przeznaczona do sprzedaży. Jednakże przetarg będzie ogłoszony w okresie planowanej budowy przystani kajakowej, wówczas to działka ta stanie się bardziej atrakcyjna dla inwestorów.</w:t>
      </w:r>
    </w:p>
    <w:p w:rsidR="00805F06" w:rsidRDefault="00805F06" w:rsidP="00805F06">
      <w:pPr>
        <w:suppressAutoHyphens/>
        <w:jc w:val="both"/>
        <w:rPr>
          <w:szCs w:val="28"/>
        </w:rPr>
      </w:pPr>
      <w:r>
        <w:rPr>
          <w:szCs w:val="28"/>
        </w:rPr>
        <w:tab/>
        <w:t xml:space="preserve">Mając na uwadze powyższe oraz z uwagi na opłacanie czynszu za najem  i podatku od nieruchomości przez najemcę gruntu do czasu sprzedaży działki rozwiązywanie umowy najmu nie leży w interesie gminy Śrem. Najemca zobowiązany będzie jednak do większej dbałości o estetykę obiektu oraz zostanie poinformowany o obowiązku utrzymywania czystości </w:t>
      </w:r>
      <w:r>
        <w:rPr>
          <w:szCs w:val="28"/>
        </w:rPr>
        <w:br/>
        <w:t>i porządku na wynajmowanym terenie.</w:t>
      </w:r>
    </w:p>
    <w:p w:rsidR="00803F39" w:rsidRDefault="00803F39" w:rsidP="00803F39">
      <w:pPr>
        <w:pStyle w:val="Akapitzlist"/>
        <w:jc w:val="both"/>
      </w:pPr>
      <w:r>
        <w:t>Ławki ustawione przy ul. Kościuszki (przy wejściu na wał) zostaną</w:t>
      </w:r>
    </w:p>
    <w:p w:rsidR="00803F39" w:rsidRDefault="00803F39" w:rsidP="00803F39">
      <w:pPr>
        <w:pStyle w:val="Akapitzlist"/>
        <w:ind w:left="0"/>
        <w:jc w:val="both"/>
      </w:pPr>
      <w:r>
        <w:t>przewiezione i ustawione w nowym miejscu, tj. na terenie os. Jeziorany             w Śremie. Termin wykonania powyższego do 10 września br.</w:t>
      </w:r>
    </w:p>
    <w:p w:rsidR="00805F06" w:rsidRDefault="00805F06" w:rsidP="00803F39">
      <w:pPr>
        <w:jc w:val="both"/>
        <w:rPr>
          <w:szCs w:val="28"/>
        </w:rPr>
      </w:pPr>
    </w:p>
    <w:p w:rsidR="004B3E75" w:rsidRPr="00632438" w:rsidRDefault="004B3E75" w:rsidP="004B3E75">
      <w:pPr>
        <w:ind w:left="426" w:hanging="426"/>
        <w:jc w:val="both"/>
        <w:rPr>
          <w:b/>
        </w:rPr>
      </w:pPr>
      <w:r>
        <w:rPr>
          <w:szCs w:val="28"/>
        </w:rPr>
        <w:t xml:space="preserve">► </w:t>
      </w:r>
      <w:r w:rsidRPr="00632438">
        <w:rPr>
          <w:b/>
          <w:szCs w:val="28"/>
        </w:rPr>
        <w:t xml:space="preserve">w sprawie właściwego sprzątania ulic w mieście. </w:t>
      </w:r>
    </w:p>
    <w:p w:rsidR="00573A0B" w:rsidRDefault="00573A0B" w:rsidP="00573A0B">
      <w:pPr>
        <w:ind w:firstLine="426"/>
        <w:jc w:val="both"/>
      </w:pPr>
      <w:r>
        <w:t xml:space="preserve">Ulice na terenie gminy Śrem sprzątane są zgodnie z harmonogramem sprzątania ulic. Harmonogram jest dostępny na stronie internetowej Urzędu Miejskiego w Śremie. </w:t>
      </w:r>
    </w:p>
    <w:p w:rsidR="00573A0B" w:rsidRDefault="00573A0B" w:rsidP="00573A0B">
      <w:pPr>
        <w:pStyle w:val="Akapitzlist"/>
        <w:ind w:left="0" w:firstLine="426"/>
        <w:jc w:val="both"/>
      </w:pPr>
      <w:r>
        <w:t>W sytuacjach wyjątkowych, tj. przed imprezami okolicznościowymi              i uroczystościami miejskimi, firma sprzątająca, na polecenie Burmistrza sprząta główne ulice miasta, częściej niż jest to zapisane w umowie - zamiennie za inne ulice z harmonogramu. W efekcie powyższego, niektóre ulice nie są sprzątane zgodnie z harmonogramem.</w:t>
      </w:r>
    </w:p>
    <w:p w:rsidR="00573A0B" w:rsidRDefault="00573A0B" w:rsidP="00573A0B">
      <w:pPr>
        <w:ind w:firstLine="720"/>
        <w:jc w:val="both"/>
      </w:pPr>
      <w:r>
        <w:t xml:space="preserve"> </w:t>
      </w:r>
      <w:r>
        <w:tab/>
        <w:t xml:space="preserve">Jednocześnie informuję, że zgodnie z Regulaminem utrzymania czystości </w:t>
      </w:r>
      <w:r w:rsidRPr="00E429A5">
        <w:t>i porządku na terenie gminy Śrem</w:t>
      </w:r>
      <w:r>
        <w:t xml:space="preserve">, uprzątnięcie zanieczyszczeń           </w:t>
      </w:r>
      <w:r w:rsidRPr="00E429A5">
        <w:t>z chodników położonych wzdłuż nieruchomości jest obowiązkiem wł</w:t>
      </w:r>
      <w:r>
        <w:t>aścicieli tychże nieruchomości. W przypadku nieruchomości komunalnych zlokalizowanych na terenie miasta obowiązek ten ciąży na zarządcy mienia tj. Śremskim Towarzystwie Budownictwa Społecznego. Jednak z uwagi na ograniczenia finansowe umowy na stałe utrzymanie czystości wokół budynków komunalnych zostały w ubiegłym roku wypowiedziane.</w:t>
      </w:r>
    </w:p>
    <w:p w:rsidR="00573A0B" w:rsidRDefault="00573A0B" w:rsidP="00573A0B">
      <w:pPr>
        <w:pStyle w:val="Akapitzlist"/>
        <w:ind w:left="0" w:firstLine="696"/>
        <w:jc w:val="both"/>
      </w:pPr>
      <w:r>
        <w:t xml:space="preserve">Odpowiadając na pytanie dot. stanu płyt betonowo - ażurowych przy zejściu na przystań kajakową nad rzeką Wartą informuję, iż cały teren przystani wykaszany jest 3 razy w miesiącu (od marca do października) przez </w:t>
      </w:r>
      <w:r>
        <w:lastRenderedPageBreak/>
        <w:t xml:space="preserve">pracowników Śremskiego Sportu. Trawa rosnąca w otworach  płyt pełni rolę naturalnego umocnienia, dlatego też nie jest usuwana tylko przycinana. </w:t>
      </w:r>
    </w:p>
    <w:p w:rsidR="00573A0B" w:rsidRDefault="00573A0B" w:rsidP="00573A0B">
      <w:pPr>
        <w:pStyle w:val="Akapitzlist"/>
        <w:ind w:left="0" w:firstLine="696"/>
        <w:jc w:val="both"/>
      </w:pPr>
      <w:r>
        <w:t xml:space="preserve">Poręcz na podjeździe do szaletu miejskiego przy ul. Targowej zostanie zamontowana w pierwszej połowie września br. Całość zostanie oczyszczona </w:t>
      </w:r>
      <w:r w:rsidR="00181A63">
        <w:t xml:space="preserve">     </w:t>
      </w:r>
      <w:r>
        <w:t>i odmalowana.</w:t>
      </w:r>
    </w:p>
    <w:p w:rsidR="00573A0B" w:rsidRDefault="00573A0B" w:rsidP="00573A0B">
      <w:pPr>
        <w:ind w:firstLine="708"/>
        <w:jc w:val="both"/>
      </w:pPr>
      <w:r>
        <w:t xml:space="preserve">Ponadto informuję, iż zwrócono uwagę wykonawcom realizującym prace porządkowe na ternie prawobrzeżnej części miasta Śrem, aby bardziej efektywnie sprzątali podległe im tereny.     </w:t>
      </w:r>
    </w:p>
    <w:p w:rsidR="004B3E75" w:rsidRPr="00632438" w:rsidRDefault="004B3E75" w:rsidP="004B3E75">
      <w:pPr>
        <w:jc w:val="both"/>
        <w:rPr>
          <w:b/>
        </w:rPr>
      </w:pPr>
    </w:p>
    <w:p w:rsidR="00573A0B" w:rsidRDefault="00A83BEE" w:rsidP="00A83BEE">
      <w:pPr>
        <w:jc w:val="both"/>
        <w:rPr>
          <w:b/>
          <w:szCs w:val="28"/>
        </w:rPr>
      </w:pPr>
      <w:r w:rsidRPr="00A14AAE">
        <w:rPr>
          <w:b/>
          <w:szCs w:val="28"/>
        </w:rPr>
        <w:t xml:space="preserve">Radny Piotr </w:t>
      </w:r>
      <w:proofErr w:type="spellStart"/>
      <w:r w:rsidRPr="00A14AAE">
        <w:rPr>
          <w:b/>
          <w:szCs w:val="28"/>
        </w:rPr>
        <w:t>Mulkowski</w:t>
      </w:r>
      <w:proofErr w:type="spellEnd"/>
      <w:r w:rsidRPr="00A14AAE">
        <w:rPr>
          <w:b/>
          <w:szCs w:val="28"/>
        </w:rPr>
        <w:t xml:space="preserve"> złożył interpelację  dotyczącą rejonu ul. Generała Władysława Sikorskiego, teren</w:t>
      </w:r>
      <w:r w:rsidR="00520DB4" w:rsidRPr="00A14AAE">
        <w:rPr>
          <w:b/>
          <w:szCs w:val="28"/>
        </w:rPr>
        <w:t>u kortów tenisowych, sposobu  przeznaczenia.</w:t>
      </w:r>
    </w:p>
    <w:p w:rsidR="00DA522B" w:rsidRPr="00A14AAE" w:rsidRDefault="00DA522B" w:rsidP="00A83BEE">
      <w:pPr>
        <w:jc w:val="both"/>
        <w:rPr>
          <w:b/>
          <w:szCs w:val="28"/>
        </w:rPr>
      </w:pPr>
    </w:p>
    <w:p w:rsidR="00A14AAE" w:rsidRDefault="00A14AAE" w:rsidP="00A14AAE">
      <w:pPr>
        <w:ind w:firstLine="567"/>
        <w:jc w:val="both"/>
      </w:pPr>
      <w:r>
        <w:t>Zgodnie z miejscowym planem zagospodarowania przestrzennego dla obszaru „Helenki” w Śremie uchwalonego uchwałą Nr 109/XIII/07 Rady Miejskiej w Śremie z dnia 23 sierpnia 2007 r., teren kortów tenisowych przeznaczony został pod zabudowę usługową związaną z usługami sportu (14U).</w:t>
      </w:r>
    </w:p>
    <w:p w:rsidR="00A14AAE" w:rsidRDefault="00A14AAE" w:rsidP="00A14AAE">
      <w:pPr>
        <w:ind w:firstLine="567"/>
        <w:jc w:val="both"/>
      </w:pPr>
      <w:r>
        <w:t xml:space="preserve">Właścicielem nieruchomości jest Platinum </w:t>
      </w:r>
      <w:proofErr w:type="spellStart"/>
      <w:r>
        <w:t>Investments</w:t>
      </w:r>
      <w:proofErr w:type="spellEnd"/>
      <w:r>
        <w:t xml:space="preserve"> Sp. z o.o.                 z siedzibą w Poznaniu przy ul. Kramarskiej 6.</w:t>
      </w:r>
    </w:p>
    <w:p w:rsidR="00ED7CA4" w:rsidRDefault="00A14AAE" w:rsidP="002578E9">
      <w:pPr>
        <w:ind w:firstLine="567"/>
        <w:jc w:val="both"/>
        <w:rPr>
          <w:vertAlign w:val="superscript"/>
        </w:rPr>
      </w:pPr>
      <w:r>
        <w:t>Spółka nabyła nieruchomość od Gminy, w 2010 roku, w drodze</w:t>
      </w:r>
      <w:r w:rsidR="002578E9">
        <w:t xml:space="preserve"> pisemnego </w:t>
      </w:r>
      <w:r>
        <w:t xml:space="preserve"> przetargu nieograniczonego, za kwotę 548.227,00 zł.</w:t>
      </w:r>
      <w:r w:rsidR="002578E9">
        <w:t xml:space="preserve"> </w:t>
      </w:r>
      <w:r>
        <w:t xml:space="preserve">Powierzchnia terenu, obejmującego działki o nr </w:t>
      </w:r>
      <w:proofErr w:type="spellStart"/>
      <w:r>
        <w:t>ewid</w:t>
      </w:r>
      <w:proofErr w:type="spellEnd"/>
      <w:r>
        <w:t>. 1137 i 235/2, wynosi 6195 m</w:t>
      </w:r>
      <w:r w:rsidRPr="00A20579">
        <w:rPr>
          <w:vertAlign w:val="superscript"/>
        </w:rPr>
        <w:t>2</w:t>
      </w:r>
      <w:r w:rsidR="00ED7CA4">
        <w:rPr>
          <w:vertAlign w:val="superscript"/>
        </w:rPr>
        <w:t>.</w:t>
      </w:r>
      <w:r w:rsidR="002578E9">
        <w:rPr>
          <w:vertAlign w:val="superscript"/>
        </w:rPr>
        <w:t xml:space="preserve">  </w:t>
      </w:r>
    </w:p>
    <w:p w:rsidR="002578E9" w:rsidRPr="002578E9" w:rsidRDefault="002578E9" w:rsidP="002578E9">
      <w:pPr>
        <w:tabs>
          <w:tab w:val="left" w:pos="8205"/>
        </w:tabs>
        <w:jc w:val="both"/>
        <w:rPr>
          <w:szCs w:val="28"/>
        </w:rPr>
      </w:pPr>
      <w:r>
        <w:rPr>
          <w:szCs w:val="28"/>
        </w:rPr>
        <w:t xml:space="preserve">       Według umowy sprzedaży nabywający zobowiązał się do zagospodarowania przedmiotowej nieruchomości  w sposób odpowiadający założeniom koncepcyjnym przedstawionym w ofercie przetargowej, w terminie do 2 czerwca 2013 roku. W przypadku niewywiązania się z obowiązku zagospodarowania nieruchomości, nabywca poniesie karę umowną w wysokości 100 000, 00 zł (słownie: sto tysięcy złotych).</w:t>
      </w:r>
    </w:p>
    <w:p w:rsidR="00ED7CA4" w:rsidRPr="00DB7205" w:rsidRDefault="00ED7CA4" w:rsidP="00DB7205">
      <w:pPr>
        <w:jc w:val="both"/>
      </w:pPr>
    </w:p>
    <w:p w:rsidR="00DB7205" w:rsidRDefault="00DB7205" w:rsidP="00DB7205">
      <w:pPr>
        <w:jc w:val="both"/>
      </w:pPr>
    </w:p>
    <w:p w:rsidR="00DB7205" w:rsidRDefault="00DB7205" w:rsidP="00DB7205">
      <w:pPr>
        <w:jc w:val="both"/>
      </w:pPr>
    </w:p>
    <w:p w:rsidR="00DB7205" w:rsidRDefault="00DB7205" w:rsidP="00DB7205">
      <w:pPr>
        <w:jc w:val="both"/>
      </w:pPr>
      <w:r>
        <w:t>Sprawę prowadzi:</w:t>
      </w:r>
    </w:p>
    <w:p w:rsidR="00ED7CA4" w:rsidRPr="00DB7205" w:rsidRDefault="00DB7205" w:rsidP="00DB7205">
      <w:pPr>
        <w:jc w:val="both"/>
      </w:pPr>
      <w:r w:rsidRPr="00DB7205">
        <w:t xml:space="preserve">Jolanta </w:t>
      </w:r>
      <w:proofErr w:type="spellStart"/>
      <w:r>
        <w:t>Dworczyńska</w:t>
      </w:r>
      <w:proofErr w:type="spellEnd"/>
    </w:p>
    <w:p w:rsidR="00ED7CA4" w:rsidRDefault="00DB7205" w:rsidP="00DB7205">
      <w:pPr>
        <w:jc w:val="both"/>
      </w:pPr>
      <w:r>
        <w:t>inspektor</w:t>
      </w:r>
    </w:p>
    <w:p w:rsidR="00DB7205" w:rsidRDefault="00DB7205" w:rsidP="00DB7205">
      <w:pPr>
        <w:jc w:val="both"/>
      </w:pPr>
      <w:r>
        <w:t>tel. 61 2847 101</w:t>
      </w:r>
    </w:p>
    <w:p w:rsidR="00DB7205" w:rsidRDefault="00DB7205" w:rsidP="00DB7205">
      <w:pPr>
        <w:jc w:val="both"/>
      </w:pPr>
    </w:p>
    <w:p w:rsidR="00DB7205" w:rsidRDefault="00DB7205" w:rsidP="00DB7205">
      <w:pPr>
        <w:jc w:val="both"/>
      </w:pPr>
      <w:r>
        <w:t>Otrzymuje:</w:t>
      </w:r>
    </w:p>
    <w:p w:rsidR="00DB7205" w:rsidRDefault="00DB7205" w:rsidP="00DB7205">
      <w:pPr>
        <w:jc w:val="both"/>
      </w:pPr>
      <w:r>
        <w:t xml:space="preserve">- radny, Pan Andrzej </w:t>
      </w:r>
      <w:proofErr w:type="spellStart"/>
      <w:r>
        <w:t>Mieloszyński</w:t>
      </w:r>
      <w:proofErr w:type="spellEnd"/>
    </w:p>
    <w:p w:rsidR="00DB7205" w:rsidRDefault="00DB7205" w:rsidP="00DB7205">
      <w:pPr>
        <w:jc w:val="both"/>
      </w:pPr>
      <w:r>
        <w:t xml:space="preserve">- radny p. Piotr </w:t>
      </w:r>
      <w:proofErr w:type="spellStart"/>
      <w:r>
        <w:t>Mulkowski</w:t>
      </w:r>
      <w:proofErr w:type="spellEnd"/>
    </w:p>
    <w:p w:rsidR="00DB7205" w:rsidRDefault="00DB7205" w:rsidP="00DB7205">
      <w:pPr>
        <w:jc w:val="both"/>
      </w:pPr>
      <w:r>
        <w:t>- aa PAOOR</w:t>
      </w:r>
    </w:p>
    <w:p w:rsidR="00ED7CA4" w:rsidRPr="00DB7205" w:rsidRDefault="00FB07B4" w:rsidP="00DB7205">
      <w:pPr>
        <w:jc w:val="both"/>
      </w:pPr>
      <w:r>
        <w:t>g</w:t>
      </w:r>
      <w:bookmarkStart w:id="0" w:name="_GoBack"/>
      <w:bookmarkEnd w:id="0"/>
    </w:p>
    <w:p w:rsidR="00ED7CA4" w:rsidRDefault="00ED7CA4" w:rsidP="00A14AAE">
      <w:pPr>
        <w:rPr>
          <w:vertAlign w:val="superscript"/>
        </w:rPr>
      </w:pPr>
    </w:p>
    <w:p w:rsidR="00ED7CA4" w:rsidRDefault="00ED7CA4">
      <w:pPr>
        <w:autoSpaceDE w:val="0"/>
        <w:autoSpaceDN w:val="0"/>
        <w:adjustRightInd w:val="0"/>
        <w:jc w:val="center"/>
        <w:rPr>
          <w:rFonts w:ascii="Arial" w:eastAsiaTheme="minorHAnsi" w:hAnsi="Arial" w:cs="Arial"/>
          <w:bCs/>
          <w:color w:val="000000"/>
          <w:sz w:val="20"/>
          <w:szCs w:val="20"/>
          <w:lang w:eastAsia="en-US"/>
        </w:rPr>
        <w:sectPr w:rsidR="00ED7C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0"/>
        <w:gridCol w:w="1816"/>
        <w:gridCol w:w="1306"/>
        <w:gridCol w:w="833"/>
        <w:gridCol w:w="832"/>
        <w:gridCol w:w="833"/>
        <w:gridCol w:w="833"/>
        <w:gridCol w:w="833"/>
        <w:gridCol w:w="833"/>
        <w:gridCol w:w="832"/>
        <w:gridCol w:w="833"/>
        <w:gridCol w:w="833"/>
        <w:gridCol w:w="833"/>
        <w:gridCol w:w="833"/>
      </w:tblGrid>
      <w:tr w:rsidR="00ED7CA4" w:rsidTr="00ED7CA4">
        <w:trPr>
          <w:trHeight w:val="168"/>
        </w:trPr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solid" w:color="CC99FF" w:fill="auto"/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eastAsia="en-US"/>
              </w:rPr>
              <w:lastRenderedPageBreak/>
              <w:t>A</w:t>
            </w:r>
          </w:p>
        </w:tc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Nazwa zadania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Stan na 31.08.2012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2012</w:t>
            </w:r>
          </w:p>
        </w:tc>
        <w:tc>
          <w:tcPr>
            <w:tcW w:w="83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2013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2014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83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</w:t>
            </w: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Nordea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Bank - Gdynia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318 252,00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86 796,00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86 796,00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86 796,00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86 796,00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28 932,00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term.G-1,P-7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Bank Pocztowy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Oddz.Leszno</w:t>
            </w:r>
            <w:proofErr w:type="spellEnd"/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550 000,00</w:t>
            </w:r>
          </w:p>
        </w:tc>
        <w:tc>
          <w:tcPr>
            <w:tcW w:w="833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550 000,00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275 000,00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realiz.zad.w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budżecie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Nordea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Bank - Gdynia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97 187,63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22 428,00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22 428,00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22 428,00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22 428,00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22 427,63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term.P-3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Bank Pocztowy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Oddz.Leszno</w:t>
            </w:r>
            <w:proofErr w:type="spellEnd"/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1 300 000,00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650 000,00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650 000,00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487 500,00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realiz.zad.w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budżecie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Nordea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Bank - Gdynia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38 707,93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7 257,72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7 257,72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7 257,72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7 257,72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7 257,72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7 257,81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term.SP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-Zbrudzewo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Nordea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Bank - Gdynia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34 351,38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6 245,64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6 245,64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6 245,64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6 245,64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6 245,64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6 245,64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1 041,30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term.bud.ul.Modrzewskiego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1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Nordea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Bank - Gdynia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33 967,25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6 175,80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6 175,80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6 175,80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6 175,80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6 175,80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6 175,80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1 029,65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term.bud.ul.Modrzewskiego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3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Nordea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Bank - Gdynia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123 221,05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23 103,84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23 103,84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23 103,84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23 103,84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23 103,84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23 104,41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term.bud.ul.Okulickiego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3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Bank Pocztowy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Oddz.Leszno</w:t>
            </w:r>
            <w:proofErr w:type="spellEnd"/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478 298,00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89 680,80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89 680,80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89 680,80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89 680,80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89 680,80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89 681,20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term.SP-1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BGK Poznań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500 008,00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166 664,00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166 664,00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166 664,00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125 014,00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realiz.zad.w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budżecie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ING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FFCC99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i/>
                <w:iCs/>
                <w:color w:val="000000"/>
                <w:sz w:val="20"/>
                <w:szCs w:val="20"/>
                <w:lang w:eastAsia="en-US"/>
              </w:rPr>
              <w:t>2 508 000,00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264 000,00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528 000,00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528 000,00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528 000,00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528 000,00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264 000,00   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Kredyt na koniec roku 2011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75"/>
        </w:trPr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24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solid" w:color="CC99FF" w:fill="auto"/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eastAsia="en-US"/>
              </w:rPr>
              <w:lastRenderedPageBreak/>
              <w:t>Lp.</w:t>
            </w:r>
          </w:p>
        </w:tc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Nazwa zadania</w:t>
            </w:r>
          </w:p>
        </w:tc>
        <w:tc>
          <w:tcPr>
            <w:tcW w:w="1306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Stan na 31.08.2012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2012</w:t>
            </w:r>
          </w:p>
        </w:tc>
        <w:tc>
          <w:tcPr>
            <w:tcW w:w="83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2013</w:t>
            </w:r>
          </w:p>
        </w:tc>
        <w:tc>
          <w:tcPr>
            <w:tcW w:w="833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2014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833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2016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2017</w:t>
            </w:r>
          </w:p>
        </w:tc>
        <w:tc>
          <w:tcPr>
            <w:tcW w:w="832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2018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833" w:type="dxa"/>
            <w:tcBorders>
              <w:top w:val="single" w:sz="12" w:space="0" w:color="auto"/>
              <w:left w:val="nil"/>
              <w:bottom w:val="single" w:sz="12" w:space="0" w:color="auto"/>
              <w:right w:val="single" w:sz="6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solid" w:color="CC99FF" w:fill="auto"/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2022</w:t>
            </w: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325 000,00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150 000,00</w:t>
            </w:r>
          </w:p>
        </w:tc>
        <w:tc>
          <w:tcPr>
            <w:tcW w:w="832" w:type="dxa"/>
            <w:tcBorders>
              <w:top w:val="single" w:sz="12" w:space="0" w:color="auto"/>
              <w:left w:val="nil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250 000,00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Kanal.sanit.Wyrzeka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215 600,00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78 400,00</w:t>
            </w:r>
          </w:p>
        </w:tc>
        <w:tc>
          <w:tcPr>
            <w:tcW w:w="83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78 400,00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117 600,00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Kanal.sanit.w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Olszyi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Bystrzku 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et.II</w:t>
            </w:r>
            <w:proofErr w:type="spellEnd"/>
          </w:p>
        </w:tc>
        <w:tc>
          <w:tcPr>
            <w:tcW w:w="8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894 360,00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164 480,00</w:t>
            </w:r>
          </w:p>
        </w:tc>
        <w:tc>
          <w:tcPr>
            <w:tcW w:w="83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164 480,00   </w:t>
            </w:r>
          </w:p>
        </w:tc>
        <w:tc>
          <w:tcPr>
            <w:tcW w:w="83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164 480,00   </w:t>
            </w:r>
          </w:p>
        </w:tc>
        <w:tc>
          <w:tcPr>
            <w:tcW w:w="83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164 480,00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318 680,00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Kanal.sanit.w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Dalewie</w:t>
            </w:r>
          </w:p>
        </w:tc>
        <w:tc>
          <w:tcPr>
            <w:tcW w:w="8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173 000,00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76 000,00</w:t>
            </w:r>
          </w:p>
        </w:tc>
        <w:tc>
          <w:tcPr>
            <w:tcW w:w="83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76 000,00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78 000,00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termom. SP-1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58 695,00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33 540,00</w:t>
            </w:r>
          </w:p>
        </w:tc>
        <w:tc>
          <w:tcPr>
            <w:tcW w:w="832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33 540,00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16 770,00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termom.SP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-Zbrudzewo</w:t>
            </w:r>
          </w:p>
        </w:tc>
        <w:tc>
          <w:tcPr>
            <w:tcW w:w="832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274 800,00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91 200,00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91 200,00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91 200,00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69 600,00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termomoder.SP-4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88 000,00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32 000,00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32 000,00   </w:t>
            </w:r>
          </w:p>
        </w:tc>
        <w:tc>
          <w:tcPr>
            <w:tcW w:w="83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32 000,00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16 000,00   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termomoder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. SP-</w:t>
            </w: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Pysząca</w:t>
            </w:r>
            <w:proofErr w:type="spellEnd"/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636 011,54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140 800,00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140 800,00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140 800,00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140 800,00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140 800,00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37 611,54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bud.kanal.sanit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.-Dąbrowa i Luciny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198 250,00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49 400,00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49 400,00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49 400,00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49 400,00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37 700,00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termomoder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. P-6 Śrem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1816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198 250,00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49 400,00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49 400,00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49 400,00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49 400,00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37 700,00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termomoder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. P-5 Śrem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138 040,00</w:t>
            </w:r>
          </w:p>
        </w:tc>
        <w:tc>
          <w:tcPr>
            <w:tcW w:w="83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11 500,00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23000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23000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23000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23000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40290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951" w:type="dxa"/>
            <w:gridSpan w:val="9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Modernizacja ogrzewania w GIM 2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12</w:t>
            </w: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.</w:t>
            </w:r>
          </w:p>
        </w:tc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WFOŚ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19 </w:t>
            </w: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000,00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lastRenderedPageBreak/>
              <w:t>38000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38000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38000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38000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29000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Termomodernizacja P2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ED7CA4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1816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BGK Poznań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CC00" w:fill="auto"/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337 716,49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337 716,49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617" w:type="dxa"/>
            <w:gridSpan w:val="11"/>
            <w:tcBorders>
              <w:top w:val="nil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prefinansowanie świetlica Mechlin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ED7CA4" w:rsidTr="00ED7CA4">
        <w:trPr>
          <w:trHeight w:val="175"/>
        </w:trPr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7CA4" w:rsidTr="00ED7CA4">
        <w:trPr>
          <w:trHeight w:val="168"/>
        </w:trPr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16" w:type="dxa"/>
            <w:tcBorders>
              <w:top w:val="nil"/>
              <w:left w:val="nil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67" w:type="dxa"/>
            <w:gridSpan w:val="12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b/>
                <w:bCs/>
                <w:color w:val="000000"/>
                <w:sz w:val="22"/>
                <w:szCs w:val="22"/>
                <w:lang w:eastAsia="en-US"/>
              </w:rPr>
              <w:t>Stan na 31.08.2012</w:t>
            </w: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ED7CA4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122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Obligacje z 2010 r.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1 100 000,00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2 000 000,00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2 000 000,00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2 000 000,00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2 500 000,00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2 500 000,00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Nordea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Bank Polska SA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ED7CA4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Obligacje z 2011 r.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8 300 000,00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1 000 000,00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1 000 000,00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1 000 000,00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2 500 000,00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2 800 000,00</w:t>
            </w: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Nordea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Bank Polska SA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 w:rsidRPr="00ED7CA4"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Obligacje z 2012 r.</w:t>
            </w:r>
          </w:p>
        </w:tc>
        <w:tc>
          <w:tcPr>
            <w:tcW w:w="13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14 850 000,00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1 850 000,00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2 000 000,00</w:t>
            </w:r>
          </w:p>
        </w:tc>
        <w:tc>
          <w:tcPr>
            <w:tcW w:w="8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2 000 000,00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2 000 000,00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2 000 000,00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2 000 000,00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  <w:t>3 000 000,00</w:t>
            </w:r>
          </w:p>
        </w:tc>
      </w:tr>
      <w:tr w:rsidR="00ED7CA4" w:rsidTr="00ED7CA4">
        <w:trPr>
          <w:trHeight w:val="161"/>
        </w:trPr>
        <w:tc>
          <w:tcPr>
            <w:tcW w:w="3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Pr="00ED7CA4" w:rsidRDefault="00ED7CA4">
            <w:pPr>
              <w:autoSpaceDE w:val="0"/>
              <w:autoSpaceDN w:val="0"/>
              <w:adjustRightInd w:val="0"/>
              <w:jc w:val="center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95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Nordea</w:t>
            </w:r>
            <w:proofErr w:type="spellEnd"/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Bank Polska SA</w:t>
            </w: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D7CA4" w:rsidRDefault="00ED7CA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ED7CA4" w:rsidRDefault="00ED7CA4" w:rsidP="00ED7CA4">
      <w:pPr>
        <w:ind w:right="-1417"/>
        <w:rPr>
          <w:vertAlign w:val="superscript"/>
        </w:rPr>
        <w:sectPr w:rsidR="00ED7CA4" w:rsidSect="00ED7CA4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ED7CA4" w:rsidRDefault="00ED7CA4" w:rsidP="00ED7CA4">
      <w:pPr>
        <w:ind w:right="-1417"/>
        <w:rPr>
          <w:vertAlign w:val="superscript"/>
        </w:rPr>
      </w:pPr>
    </w:p>
    <w:p w:rsidR="00ED7CA4" w:rsidRDefault="00ED7CA4" w:rsidP="00A14AAE">
      <w:pPr>
        <w:rPr>
          <w:vertAlign w:val="superscript"/>
        </w:rPr>
      </w:pPr>
    </w:p>
    <w:p w:rsidR="00ED7CA4" w:rsidRDefault="00ED7CA4" w:rsidP="00A14AAE">
      <w:pPr>
        <w:rPr>
          <w:vertAlign w:val="superscript"/>
        </w:rPr>
      </w:pPr>
    </w:p>
    <w:p w:rsidR="00ED7CA4" w:rsidRDefault="00ED7CA4" w:rsidP="00A14AAE">
      <w:pPr>
        <w:rPr>
          <w:vertAlign w:val="superscript"/>
        </w:rPr>
      </w:pPr>
    </w:p>
    <w:p w:rsidR="00ED7CA4" w:rsidRDefault="00ED7CA4" w:rsidP="00A14AAE">
      <w:pPr>
        <w:rPr>
          <w:vertAlign w:val="superscript"/>
        </w:rPr>
      </w:pPr>
    </w:p>
    <w:p w:rsidR="00ED7CA4" w:rsidRDefault="00ED7CA4" w:rsidP="00A14AAE">
      <w:pPr>
        <w:rPr>
          <w:vertAlign w:val="superscript"/>
        </w:rPr>
      </w:pPr>
    </w:p>
    <w:p w:rsidR="00ED7CA4" w:rsidRDefault="00ED7CA4" w:rsidP="00A14AAE">
      <w:pPr>
        <w:rPr>
          <w:vertAlign w:val="superscript"/>
        </w:rPr>
      </w:pPr>
    </w:p>
    <w:p w:rsidR="00ED7CA4" w:rsidRDefault="00ED7CA4" w:rsidP="00A14AAE">
      <w:pPr>
        <w:rPr>
          <w:vertAlign w:val="superscript"/>
        </w:rPr>
      </w:pPr>
    </w:p>
    <w:p w:rsidR="00ED7CA4" w:rsidRDefault="00ED7CA4" w:rsidP="00A14AAE">
      <w:pPr>
        <w:rPr>
          <w:vertAlign w:val="superscript"/>
        </w:rPr>
      </w:pPr>
    </w:p>
    <w:p w:rsidR="00ED7CA4" w:rsidRDefault="00ED7CA4" w:rsidP="00A14AAE">
      <w:pPr>
        <w:rPr>
          <w:vertAlign w:val="superscript"/>
        </w:rPr>
      </w:pPr>
    </w:p>
    <w:p w:rsidR="00ED7CA4" w:rsidRPr="00ED7CA4" w:rsidRDefault="00ED7CA4" w:rsidP="00A14AAE">
      <w:pPr>
        <w:rPr>
          <w:vertAlign w:val="superscript"/>
        </w:rPr>
      </w:pPr>
    </w:p>
    <w:sectPr w:rsidR="00ED7CA4" w:rsidRPr="00ED7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1F7" w:rsidRDefault="006511F7" w:rsidP="00573A0B">
      <w:r>
        <w:separator/>
      </w:r>
    </w:p>
  </w:endnote>
  <w:endnote w:type="continuationSeparator" w:id="0">
    <w:p w:rsidR="006511F7" w:rsidRDefault="006511F7" w:rsidP="00573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1F7" w:rsidRDefault="006511F7" w:rsidP="00573A0B">
      <w:r>
        <w:separator/>
      </w:r>
    </w:p>
  </w:footnote>
  <w:footnote w:type="continuationSeparator" w:id="0">
    <w:p w:rsidR="006511F7" w:rsidRDefault="006511F7" w:rsidP="00573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D22BF"/>
    <w:multiLevelType w:val="hybridMultilevel"/>
    <w:tmpl w:val="E4A8A1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5B362B"/>
    <w:multiLevelType w:val="hybridMultilevel"/>
    <w:tmpl w:val="98EAF0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456003"/>
    <w:multiLevelType w:val="hybridMultilevel"/>
    <w:tmpl w:val="50F645C4"/>
    <w:lvl w:ilvl="0" w:tplc="BB3438E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3">
    <w:nsid w:val="6BF27268"/>
    <w:multiLevelType w:val="hybridMultilevel"/>
    <w:tmpl w:val="2D1A82A4"/>
    <w:lvl w:ilvl="0" w:tplc="6D8C23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F5103E"/>
    <w:multiLevelType w:val="hybridMultilevel"/>
    <w:tmpl w:val="3F46D6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E75"/>
    <w:rsid w:val="000D1482"/>
    <w:rsid w:val="00181A63"/>
    <w:rsid w:val="002578E9"/>
    <w:rsid w:val="00277EC4"/>
    <w:rsid w:val="004B3E75"/>
    <w:rsid w:val="004D296F"/>
    <w:rsid w:val="00520DB4"/>
    <w:rsid w:val="00530D65"/>
    <w:rsid w:val="00573A0B"/>
    <w:rsid w:val="00597664"/>
    <w:rsid w:val="00632438"/>
    <w:rsid w:val="006511F7"/>
    <w:rsid w:val="00680572"/>
    <w:rsid w:val="00803F39"/>
    <w:rsid w:val="00805F06"/>
    <w:rsid w:val="00835499"/>
    <w:rsid w:val="008B7225"/>
    <w:rsid w:val="009A18F9"/>
    <w:rsid w:val="00A14AAE"/>
    <w:rsid w:val="00A46FA6"/>
    <w:rsid w:val="00A83BEE"/>
    <w:rsid w:val="00C57D1C"/>
    <w:rsid w:val="00D64575"/>
    <w:rsid w:val="00DA522B"/>
    <w:rsid w:val="00DB7205"/>
    <w:rsid w:val="00ED7CA4"/>
    <w:rsid w:val="00FB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3E7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296F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73A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3A0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3A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3A0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14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482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3E75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296F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573A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3A0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73A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3A0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14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1482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96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10</Pages>
  <Words>2407</Words>
  <Characters>14443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Jolanta Dworczynska</dc:creator>
  <cp:lastModifiedBy>Jolanta Dworczynska</cp:lastModifiedBy>
  <cp:revision>24</cp:revision>
  <cp:lastPrinted>2012-09-04T06:25:00Z</cp:lastPrinted>
  <dcterms:created xsi:type="dcterms:W3CDTF">2012-08-31T09:17:00Z</dcterms:created>
  <dcterms:modified xsi:type="dcterms:W3CDTF">2012-09-04T06:27:00Z</dcterms:modified>
</cp:coreProperties>
</file>