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524" w:rsidRDefault="00737524" w:rsidP="00737524">
      <w:r>
        <w:tab/>
      </w:r>
      <w:r>
        <w:tab/>
      </w:r>
    </w:p>
    <w:p w:rsidR="00737524" w:rsidRDefault="00737524" w:rsidP="0073752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035048">
        <w:t>28</w:t>
      </w:r>
      <w:bookmarkStart w:id="0" w:name="_GoBack"/>
      <w:bookmarkEnd w:id="0"/>
      <w:r>
        <w:t xml:space="preserve">  czerwca 2018 r.</w:t>
      </w:r>
    </w:p>
    <w:p w:rsidR="00737524" w:rsidRDefault="00737524" w:rsidP="00737524"/>
    <w:p w:rsidR="00737524" w:rsidRDefault="00737524" w:rsidP="00737524"/>
    <w:p w:rsidR="00737524" w:rsidRDefault="00737524" w:rsidP="00737524">
      <w:r>
        <w:t>PAOOR.0012.5.6.2018.ML</w:t>
      </w:r>
    </w:p>
    <w:p w:rsidR="00737524" w:rsidRDefault="00737524" w:rsidP="00737524"/>
    <w:p w:rsidR="00737524" w:rsidRDefault="00737524" w:rsidP="00737524"/>
    <w:p w:rsidR="00737524" w:rsidRDefault="00737524" w:rsidP="0073752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37524" w:rsidRDefault="00737524" w:rsidP="0073752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737524" w:rsidRDefault="00737524" w:rsidP="00737524">
      <w:pPr>
        <w:rPr>
          <w:b/>
        </w:rPr>
      </w:pPr>
    </w:p>
    <w:p w:rsidR="00737524" w:rsidRDefault="00737524" w:rsidP="0073752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737524" w:rsidRDefault="00737524" w:rsidP="0073752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Wsi i Samorządu</w:t>
      </w:r>
    </w:p>
    <w:p w:rsidR="00737524" w:rsidRDefault="00737524" w:rsidP="0073752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37524" w:rsidRDefault="00737524" w:rsidP="00737524">
      <w:pPr>
        <w:rPr>
          <w:b/>
        </w:rPr>
      </w:pPr>
    </w:p>
    <w:p w:rsidR="00737524" w:rsidRDefault="00737524" w:rsidP="00737524">
      <w:pPr>
        <w:rPr>
          <w:b/>
        </w:rPr>
      </w:pPr>
    </w:p>
    <w:p w:rsidR="00737524" w:rsidRDefault="00737524" w:rsidP="00737524">
      <w:pPr>
        <w:jc w:val="both"/>
      </w:pPr>
      <w:r>
        <w:rPr>
          <w:b/>
        </w:rPr>
        <w:tab/>
      </w:r>
      <w:r w:rsidRPr="00737524">
        <w:t>Odpowiadając na</w:t>
      </w:r>
      <w:r>
        <w:t xml:space="preserve"> złożone podczas posiedzenia</w:t>
      </w:r>
      <w:r w:rsidR="0018657E">
        <w:t xml:space="preserve"> Komisji Wsi i </w:t>
      </w:r>
      <w:r>
        <w:t>Samorządu 21 czerwca 2018 roku wnioski przez radnego, Pana Adama Sędłaka dotyczące udzielenia:</w:t>
      </w:r>
    </w:p>
    <w:p w:rsidR="00737524" w:rsidRDefault="00737524" w:rsidP="00737524">
      <w:r>
        <w:t xml:space="preserve"> </w:t>
      </w:r>
    </w:p>
    <w:p w:rsidR="00737524" w:rsidRDefault="00737524" w:rsidP="00737524">
      <w:pPr>
        <w:pStyle w:val="Akapitzlist"/>
        <w:numPr>
          <w:ilvl w:val="0"/>
          <w:numId w:val="1"/>
        </w:numPr>
        <w:jc w:val="both"/>
      </w:pPr>
      <w:r>
        <w:t>Informacji w sprawie opracowań  do zmiany planów, studium, wniosków o wydanie warunków zabudowy, jakie są tendencje, w stosunku do lat poprzednich?</w:t>
      </w:r>
    </w:p>
    <w:p w:rsidR="00737524" w:rsidRDefault="00737524" w:rsidP="00737524">
      <w:pPr>
        <w:jc w:val="both"/>
      </w:pPr>
    </w:p>
    <w:p w:rsidR="00620939" w:rsidRDefault="00737524" w:rsidP="00620939">
      <w:pPr>
        <w:ind w:firstLine="360"/>
        <w:jc w:val="both"/>
      </w:pPr>
      <w:r>
        <w:t xml:space="preserve">Informuję, że </w:t>
      </w:r>
      <w:r w:rsidR="00620939">
        <w:t>tendencje od lat nie ulegają zmianie, bowiem większość wniosków o zmianę Studium, sporządzenie / zmianę miejscowych planów czy ustalenie warunków zabudowy dotyczy inwestycji mieszkaniowych jednorodzinnych planowanych do realizacji na terenach nieprzeznaczonych na ten cel w Studium (nieuzbrojonych), w szczególności na terenach rolniczych. Wnioskodawcy proponują coraz mniejsze powierzchnie działek budowlanych oraz zwiększenie intensywności zabudowy (dominuje zabudowa w formie bliźniaczej lub szeregowej, a jeżeli wolnostojąca to dwulokalowa) nawet na obszarach wiejskich o ekstensywnym charakterze (np. Wyrzeka czy Bystrzek).</w:t>
      </w:r>
    </w:p>
    <w:p w:rsidR="00620939" w:rsidRDefault="00620939" w:rsidP="00620939">
      <w:pPr>
        <w:ind w:firstLine="567"/>
        <w:jc w:val="both"/>
      </w:pPr>
      <w:r>
        <w:t>Poniższa tabela i wykres obrazuje liczbę spraw, o których mowa powyżej.</w:t>
      </w:r>
    </w:p>
    <w:p w:rsidR="00620939" w:rsidRDefault="00620939" w:rsidP="00620939">
      <w:pPr>
        <w:ind w:firstLine="567"/>
        <w:jc w:val="both"/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1134"/>
        <w:gridCol w:w="1134"/>
        <w:gridCol w:w="1134"/>
        <w:gridCol w:w="1701"/>
      </w:tblGrid>
      <w:tr w:rsidR="00620939" w:rsidTr="0062093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Wyszczególnienie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2018</w:t>
            </w:r>
          </w:p>
          <w:p w:rsidR="00620939" w:rsidRDefault="006209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(stan w dniu 30.06)</w:t>
            </w:r>
          </w:p>
        </w:tc>
      </w:tr>
      <w:tr w:rsidR="00620939" w:rsidTr="0062093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decyzje o warunkach zabudowy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</w:tr>
      <w:tr w:rsidR="00620939" w:rsidTr="0062093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decyzje o </w:t>
            </w:r>
            <w:proofErr w:type="spellStart"/>
            <w:r>
              <w:rPr>
                <w:sz w:val="26"/>
                <w:szCs w:val="26"/>
              </w:rPr>
              <w:t>inwes.celu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publ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  <w:tr w:rsidR="00620939" w:rsidTr="0062093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sprawy związane z </w:t>
            </w:r>
            <w:proofErr w:type="spellStart"/>
            <w:r>
              <w:rPr>
                <w:sz w:val="26"/>
                <w:szCs w:val="26"/>
              </w:rPr>
              <w:t>war.zab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107</w:t>
            </w:r>
          </w:p>
        </w:tc>
      </w:tr>
      <w:tr w:rsidR="00620939" w:rsidTr="0062093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wnioski o </w:t>
            </w:r>
            <w:proofErr w:type="spellStart"/>
            <w:r>
              <w:rPr>
                <w:sz w:val="26"/>
                <w:szCs w:val="26"/>
              </w:rPr>
              <w:t>sporządz</w:t>
            </w:r>
            <w:proofErr w:type="spellEnd"/>
            <w:r>
              <w:rPr>
                <w:sz w:val="26"/>
                <w:szCs w:val="26"/>
              </w:rPr>
              <w:t xml:space="preserve">./zm. </w:t>
            </w:r>
            <w:proofErr w:type="spellStart"/>
            <w:r>
              <w:rPr>
                <w:sz w:val="26"/>
                <w:szCs w:val="26"/>
              </w:rPr>
              <w:t>mpzp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</w:tr>
      <w:tr w:rsidR="00620939" w:rsidTr="0062093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mpzp</w:t>
            </w:r>
            <w:proofErr w:type="spellEnd"/>
            <w:r>
              <w:rPr>
                <w:sz w:val="26"/>
                <w:szCs w:val="26"/>
              </w:rPr>
              <w:t xml:space="preserve"> – procedury w toku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20939" w:rsidTr="0062093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mpzp</w:t>
            </w:r>
            <w:proofErr w:type="spellEnd"/>
            <w:r>
              <w:rPr>
                <w:sz w:val="26"/>
                <w:szCs w:val="26"/>
              </w:rPr>
              <w:t xml:space="preserve"> – uchwalone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939" w:rsidRDefault="00620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</w:tbl>
    <w:p w:rsidR="00620939" w:rsidRDefault="00620939" w:rsidP="00620939">
      <w:pPr>
        <w:jc w:val="both"/>
      </w:pPr>
    </w:p>
    <w:p w:rsidR="00620939" w:rsidRDefault="00620939" w:rsidP="00620939">
      <w:pPr>
        <w:jc w:val="both"/>
      </w:pPr>
      <w:r>
        <w:rPr>
          <w:noProof/>
          <w:lang w:eastAsia="pl-PL"/>
        </w:rPr>
        <w:drawing>
          <wp:inline distT="0" distB="0" distL="0" distR="0">
            <wp:extent cx="5591175" cy="3095625"/>
            <wp:effectExtent l="0" t="0" r="9525" b="9525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20939" w:rsidRDefault="00620939" w:rsidP="00620939">
      <w:pPr>
        <w:jc w:val="both"/>
      </w:pPr>
    </w:p>
    <w:p w:rsidR="00737524" w:rsidRDefault="00737524" w:rsidP="00737524">
      <w:pPr>
        <w:jc w:val="both"/>
      </w:pPr>
    </w:p>
    <w:p w:rsidR="00737524" w:rsidRDefault="00737524" w:rsidP="00737524">
      <w:pPr>
        <w:pStyle w:val="Akapitzlist"/>
        <w:numPr>
          <w:ilvl w:val="0"/>
          <w:numId w:val="1"/>
        </w:numPr>
        <w:jc w:val="both"/>
      </w:pPr>
      <w:r>
        <w:t>Informacji, ile wynosi czas od złożenia wniosku do wydania decyzji lub załatwienia sprawy, jak wyglądamy w stosunku do sąsiednich gmin.</w:t>
      </w:r>
    </w:p>
    <w:p w:rsidR="00737524" w:rsidRDefault="00737524" w:rsidP="00737524">
      <w:pPr>
        <w:jc w:val="both"/>
      </w:pPr>
    </w:p>
    <w:p w:rsidR="0018657E" w:rsidRDefault="0018657E" w:rsidP="0018657E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Informuję, że w gminie Śrem średni czas, jaki upływa pomiędzy złożeniem wniosku o ustalenie warunków zabudowy, a wydaniem decyzji wynosi 3 – 4 miesiące. Postępowania prowadzą dwie osoby. Pracownicy, we własnym zakresie, sporządzają analizy urbanistyczne i projektu decyzji, czyli wykonanie tych dokumentów nie jest zlecane zewnętrznym podmiotom. </w:t>
      </w:r>
    </w:p>
    <w:p w:rsidR="0018657E" w:rsidRDefault="0018657E" w:rsidP="0018657E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:rsidR="0018657E" w:rsidRDefault="0018657E" w:rsidP="0018657E">
      <w:pPr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stosunku do gmin sąsiednich, w których:</w:t>
      </w:r>
    </w:p>
    <w:p w:rsidR="00CC70EF" w:rsidRDefault="00CC70EF" w:rsidP="0018657E">
      <w:pPr>
        <w:ind w:firstLine="567"/>
        <w:jc w:val="both"/>
        <w:rPr>
          <w:rFonts w:cs="Times New Roman"/>
          <w:szCs w:val="28"/>
        </w:rPr>
      </w:pPr>
    </w:p>
    <w:p w:rsidR="0018657E" w:rsidRDefault="0018657E" w:rsidP="0018657E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gminie Kórnik w roku 2017 dwie osoby prowadziły postępowania w 346 sprawach o wydanie decyzji o warunkach zabudowy. W roku 2018 postępowania prowadzą już trzy osoby, przy czym analizy urbanistyczne i projekty decyzji wykonują zewnętrzne podmioty w ramach zawieranych umów, a czas od złożenia wniosku do załatwienia sprawy średnio wynosi 3 – 4 miesiące;</w:t>
      </w:r>
    </w:p>
    <w:p w:rsidR="0018657E" w:rsidRDefault="0018657E" w:rsidP="0018657E">
      <w:pPr>
        <w:pStyle w:val="Akapitzlist"/>
        <w:jc w:val="both"/>
        <w:rPr>
          <w:rFonts w:cs="Times New Roman"/>
          <w:szCs w:val="28"/>
        </w:rPr>
      </w:pPr>
    </w:p>
    <w:p w:rsidR="0018657E" w:rsidRDefault="0018657E" w:rsidP="0018657E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 gminie Środa Wlkp. w 2017 r. wpłynęło 360 wniosków o wydanie decyzji o warunkach zabudowy. Sprawami o wydanie warunków zabudowy w roku ubiegłym i obecnie zajmują się trzy osoby, przy </w:t>
      </w:r>
      <w:r>
        <w:rPr>
          <w:rFonts w:cs="Times New Roman"/>
          <w:szCs w:val="28"/>
        </w:rPr>
        <w:lastRenderedPageBreak/>
        <w:t>czym analizy urbanistyczne oraz projekty decyzji zgodnie z zarządzeniem wewnętrznym opracowywane są przez Zakład Gospodarki Komunalnej, średni czas załatwienia sprawy wynosi 1,5 miesiąca;</w:t>
      </w:r>
    </w:p>
    <w:p w:rsidR="0018657E" w:rsidRPr="00CC70EF" w:rsidRDefault="0018657E" w:rsidP="00CC70EF">
      <w:pPr>
        <w:jc w:val="both"/>
        <w:rPr>
          <w:rFonts w:cs="Times New Roman"/>
          <w:szCs w:val="28"/>
        </w:rPr>
      </w:pPr>
    </w:p>
    <w:p w:rsidR="0018657E" w:rsidRDefault="0018657E" w:rsidP="0018657E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Kościanie na terenie miasta w roku ubiegłym wpłynęło 90 wniosków o wydanie warunków zabudowy. Postępowania w sprawach o wydanie warunków zabudowy prowadzi jedna osoba, analizy urbanistyczne i projekty decyzji sporządza zatrudniony na 2/5 etatu architekt. Załatwienie sprawy trwa średnio do 1,5 miesiąca, przy czym niewiele spraw wymaga uzgodnień. Na terenach wiejskich w roku ubiegłym wpłynęło 150 wniosków o wydanie warunków zabudowy. Sprawy prowadzi jedna osoba, włącznie z wykonaniem analiz urbanistycznych i projektów decyzji, załatwienie sprawy trwa około 2 miesięcy.</w:t>
      </w:r>
    </w:p>
    <w:p w:rsidR="0018657E" w:rsidRDefault="0018657E" w:rsidP="0018657E">
      <w:pPr>
        <w:pStyle w:val="Akapitzlist"/>
        <w:jc w:val="both"/>
        <w:rPr>
          <w:rFonts w:cs="Times New Roman"/>
          <w:szCs w:val="28"/>
        </w:rPr>
      </w:pPr>
    </w:p>
    <w:p w:rsidR="0018657E" w:rsidRDefault="0018657E" w:rsidP="0018657E">
      <w:pPr>
        <w:ind w:firstLine="567"/>
        <w:jc w:val="both"/>
        <w:rPr>
          <w:rFonts w:cs="Times New Roman"/>
        </w:rPr>
      </w:pPr>
      <w:r>
        <w:rPr>
          <w:rFonts w:cs="Times New Roman"/>
        </w:rPr>
        <w:t>Zgodnie z raportem opublikowanym przez portal rzeczpospolita.pl w 2017 r. 11% decyzji o warunkach zabudowy zostało wydanych w terminie do 60 dni, 71% decyzji w przedziale 60 – 180 dni, na 20% decyzji trzeba było czekać od 180 dni do roku, a na 3% – powyżej roku.</w:t>
      </w:r>
    </w:p>
    <w:p w:rsidR="0018657E" w:rsidRDefault="0018657E" w:rsidP="0018657E">
      <w:pPr>
        <w:ind w:firstLine="567"/>
        <w:jc w:val="both"/>
        <w:rPr>
          <w:rFonts w:cs="Times New Roman"/>
        </w:rPr>
      </w:pPr>
    </w:p>
    <w:p w:rsidR="00737524" w:rsidRDefault="00737524" w:rsidP="00737524">
      <w:pPr>
        <w:jc w:val="both"/>
      </w:pPr>
    </w:p>
    <w:p w:rsidR="00737524" w:rsidRDefault="00737524" w:rsidP="00737524">
      <w:pPr>
        <w:jc w:val="both"/>
      </w:pPr>
    </w:p>
    <w:p w:rsidR="00737524" w:rsidRDefault="00737524" w:rsidP="00737524">
      <w:pPr>
        <w:jc w:val="both"/>
      </w:pPr>
    </w:p>
    <w:p w:rsidR="00737524" w:rsidRDefault="00737524" w:rsidP="00737524">
      <w:pPr>
        <w:jc w:val="both"/>
        <w:rPr>
          <w:sz w:val="24"/>
          <w:szCs w:val="24"/>
        </w:rPr>
      </w:pPr>
    </w:p>
    <w:p w:rsidR="00737524" w:rsidRDefault="00737524" w:rsidP="00737524">
      <w:pPr>
        <w:jc w:val="both"/>
        <w:rPr>
          <w:sz w:val="24"/>
          <w:szCs w:val="24"/>
        </w:rPr>
      </w:pPr>
    </w:p>
    <w:p w:rsidR="00737524" w:rsidRDefault="00737524" w:rsidP="00737524">
      <w:pPr>
        <w:jc w:val="both"/>
        <w:rPr>
          <w:sz w:val="24"/>
          <w:szCs w:val="24"/>
        </w:rPr>
      </w:pPr>
    </w:p>
    <w:p w:rsidR="0018657E" w:rsidRDefault="0018657E" w:rsidP="00737524">
      <w:pPr>
        <w:jc w:val="both"/>
        <w:rPr>
          <w:sz w:val="24"/>
          <w:szCs w:val="24"/>
        </w:rPr>
      </w:pPr>
    </w:p>
    <w:p w:rsidR="0018657E" w:rsidRDefault="0018657E" w:rsidP="00737524">
      <w:pPr>
        <w:jc w:val="both"/>
        <w:rPr>
          <w:sz w:val="24"/>
          <w:szCs w:val="24"/>
        </w:rPr>
      </w:pPr>
    </w:p>
    <w:p w:rsidR="00737524" w:rsidRDefault="00737524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8657E" w:rsidRDefault="0018657E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Katarzyna Bednarowicz</w:t>
      </w:r>
    </w:p>
    <w:p w:rsidR="0018657E" w:rsidRDefault="0018657E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PPS</w:t>
      </w:r>
    </w:p>
    <w:p w:rsidR="0018657E" w:rsidRDefault="00452CD3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18657E">
        <w:rPr>
          <w:sz w:val="24"/>
          <w:szCs w:val="24"/>
        </w:rPr>
        <w:t>el. 61 28 47 107</w:t>
      </w:r>
    </w:p>
    <w:p w:rsidR="0018657E" w:rsidRDefault="0018657E" w:rsidP="00737524">
      <w:pPr>
        <w:jc w:val="both"/>
        <w:rPr>
          <w:sz w:val="24"/>
          <w:szCs w:val="24"/>
        </w:rPr>
      </w:pPr>
    </w:p>
    <w:p w:rsidR="0018657E" w:rsidRDefault="0018657E" w:rsidP="00737524">
      <w:pPr>
        <w:jc w:val="both"/>
        <w:rPr>
          <w:sz w:val="24"/>
          <w:szCs w:val="24"/>
        </w:rPr>
      </w:pPr>
    </w:p>
    <w:p w:rsidR="0018657E" w:rsidRDefault="0018657E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:rsidR="00737524" w:rsidRDefault="00737524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37524" w:rsidRDefault="00737524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37524" w:rsidRDefault="00737524" w:rsidP="00737524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A8D" w:rsidRDefault="00555A8D" w:rsidP="0018657E">
      <w:r>
        <w:separator/>
      </w:r>
    </w:p>
  </w:endnote>
  <w:endnote w:type="continuationSeparator" w:id="0">
    <w:p w:rsidR="00555A8D" w:rsidRDefault="00555A8D" w:rsidP="0018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7387379"/>
      <w:docPartObj>
        <w:docPartGallery w:val="Page Numbers (Bottom of Page)"/>
        <w:docPartUnique/>
      </w:docPartObj>
    </w:sdtPr>
    <w:sdtEndPr/>
    <w:sdtContent>
      <w:p w:rsidR="0018657E" w:rsidRDefault="001865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048">
          <w:rPr>
            <w:noProof/>
          </w:rPr>
          <w:t>1</w:t>
        </w:r>
        <w:r>
          <w:fldChar w:fldCharType="end"/>
        </w:r>
      </w:p>
    </w:sdtContent>
  </w:sdt>
  <w:p w:rsidR="0018657E" w:rsidRDefault="001865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A8D" w:rsidRDefault="00555A8D" w:rsidP="0018657E">
      <w:r>
        <w:separator/>
      </w:r>
    </w:p>
  </w:footnote>
  <w:footnote w:type="continuationSeparator" w:id="0">
    <w:p w:rsidR="00555A8D" w:rsidRDefault="00555A8D" w:rsidP="00186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4CF9"/>
    <w:multiLevelType w:val="hybridMultilevel"/>
    <w:tmpl w:val="CF6CE622"/>
    <w:lvl w:ilvl="0" w:tplc="4E0A38C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9764C"/>
    <w:multiLevelType w:val="hybridMultilevel"/>
    <w:tmpl w:val="A1CC7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9DD"/>
    <w:rsid w:val="00035048"/>
    <w:rsid w:val="0018657E"/>
    <w:rsid w:val="00452CD3"/>
    <w:rsid w:val="004C7C3C"/>
    <w:rsid w:val="00555A8D"/>
    <w:rsid w:val="005929DD"/>
    <w:rsid w:val="00620939"/>
    <w:rsid w:val="006F7A1F"/>
    <w:rsid w:val="00737524"/>
    <w:rsid w:val="009B55D2"/>
    <w:rsid w:val="00CC70EF"/>
    <w:rsid w:val="00D866AD"/>
    <w:rsid w:val="00DD3B5C"/>
    <w:rsid w:val="00F9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7524"/>
    <w:pPr>
      <w:ind w:left="720"/>
      <w:contextualSpacing/>
    </w:pPr>
  </w:style>
  <w:style w:type="table" w:styleId="Tabela-Siatka">
    <w:name w:val="Table Grid"/>
    <w:basedOn w:val="Standardowy"/>
    <w:uiPriority w:val="59"/>
    <w:rsid w:val="006209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0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93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865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57E"/>
  </w:style>
  <w:style w:type="paragraph" w:styleId="Stopka">
    <w:name w:val="footer"/>
    <w:basedOn w:val="Normalny"/>
    <w:link w:val="StopkaZnak"/>
    <w:uiPriority w:val="99"/>
    <w:unhideWhenUsed/>
    <w:rsid w:val="001865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5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7524"/>
    <w:pPr>
      <w:ind w:left="720"/>
      <w:contextualSpacing/>
    </w:pPr>
  </w:style>
  <w:style w:type="table" w:styleId="Tabela-Siatka">
    <w:name w:val="Table Grid"/>
    <w:basedOn w:val="Standardowy"/>
    <w:uiPriority w:val="59"/>
    <w:rsid w:val="006209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0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93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865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57E"/>
  </w:style>
  <w:style w:type="paragraph" w:styleId="Stopka">
    <w:name w:val="footer"/>
    <w:basedOn w:val="Normalny"/>
    <w:link w:val="StopkaZnak"/>
    <w:uiPriority w:val="99"/>
    <w:unhideWhenUsed/>
    <w:rsid w:val="001865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ORGANIZACJA\zestawienie%20prac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Arkusz1!$A$3</c:f>
              <c:strCache>
                <c:ptCount val="1"/>
                <c:pt idx="0">
                  <c:v>decyzje o warun.zab.</c:v>
                </c:pt>
              </c:strCache>
            </c:strRef>
          </c:tx>
          <c:spPr>
            <a:ln>
              <a:solidFill>
                <a:srgbClr val="92D050"/>
              </a:solidFill>
            </a:ln>
          </c:spPr>
          <c:marker>
            <c:symbol val="none"/>
          </c:marker>
          <c:cat>
            <c:numRef>
              <c:f>Arkusz1!$B$2:$D$2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Arkusz1!$B$3:$D$3</c:f>
              <c:numCache>
                <c:formatCode>General</c:formatCode>
                <c:ptCount val="3"/>
                <c:pt idx="0">
                  <c:v>106</c:v>
                </c:pt>
                <c:pt idx="1">
                  <c:v>172</c:v>
                </c:pt>
                <c:pt idx="2">
                  <c:v>158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Arkusz1!$A$4</c:f>
              <c:strCache>
                <c:ptCount val="1"/>
                <c:pt idx="0">
                  <c:v>decyzje o inwes.celu publ.</c:v>
                </c:pt>
              </c:strCache>
            </c:strRef>
          </c:tx>
          <c:spPr>
            <a:ln>
              <a:solidFill>
                <a:srgbClr val="00B0F0"/>
              </a:solidFill>
            </a:ln>
          </c:spPr>
          <c:marker>
            <c:symbol val="none"/>
          </c:marker>
          <c:cat>
            <c:numRef>
              <c:f>Arkusz1!$B$2:$D$2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Arkusz1!$B$4:$D$4</c:f>
              <c:numCache>
                <c:formatCode>General</c:formatCode>
                <c:ptCount val="3"/>
                <c:pt idx="0">
                  <c:v>16</c:v>
                </c:pt>
                <c:pt idx="1">
                  <c:v>22</c:v>
                </c:pt>
                <c:pt idx="2">
                  <c:v>34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Arkusz1!$A$5</c:f>
              <c:strCache>
                <c:ptCount val="1"/>
                <c:pt idx="0">
                  <c:v>sprawy związane z war.zab.</c:v>
                </c:pt>
              </c:strCache>
            </c:strRef>
          </c:tx>
          <c:spPr>
            <a:ln>
              <a:solidFill>
                <a:srgbClr val="008000"/>
              </a:solidFill>
            </a:ln>
          </c:spPr>
          <c:marker>
            <c:symbol val="none"/>
          </c:marker>
          <c:cat>
            <c:numRef>
              <c:f>Arkusz1!$B$2:$D$2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Arkusz1!$B$5:$D$5</c:f>
              <c:numCache>
                <c:formatCode>General</c:formatCode>
                <c:ptCount val="3"/>
                <c:pt idx="0">
                  <c:v>217</c:v>
                </c:pt>
                <c:pt idx="1">
                  <c:v>226</c:v>
                </c:pt>
                <c:pt idx="2">
                  <c:v>190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Arkusz1!$A$6</c:f>
              <c:strCache>
                <c:ptCount val="1"/>
                <c:pt idx="0">
                  <c:v>wnioski o sporządz./zm. mpzp</c:v>
                </c:pt>
              </c:strCache>
            </c:strRef>
          </c:tx>
          <c:spPr>
            <a:ln>
              <a:solidFill>
                <a:srgbClr val="FFC000"/>
              </a:solidFill>
            </a:ln>
          </c:spPr>
          <c:marker>
            <c:symbol val="none"/>
          </c:marker>
          <c:cat>
            <c:numRef>
              <c:f>Arkusz1!$B$2:$D$2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Arkusz1!$B$6:$D$6</c:f>
              <c:numCache>
                <c:formatCode>General</c:formatCode>
                <c:ptCount val="3"/>
                <c:pt idx="0">
                  <c:v>40</c:v>
                </c:pt>
                <c:pt idx="1">
                  <c:v>27</c:v>
                </c:pt>
                <c:pt idx="2">
                  <c:v>37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Arkusz1!$A$7</c:f>
              <c:strCache>
                <c:ptCount val="1"/>
                <c:pt idx="0">
                  <c:v>mpzp – procedury w toku</c:v>
                </c:pt>
              </c:strCache>
            </c:strRef>
          </c:tx>
          <c:spPr>
            <a:ln>
              <a:solidFill>
                <a:schemeClr val="accent2">
                  <a:lumMod val="50000"/>
                </a:schemeClr>
              </a:solidFill>
            </a:ln>
          </c:spPr>
          <c:marker>
            <c:symbol val="none"/>
          </c:marker>
          <c:cat>
            <c:numRef>
              <c:f>Arkusz1!$B$2:$D$2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Arkusz1!$B$7:$D$7</c:f>
              <c:numCache>
                <c:formatCode>General</c:formatCode>
                <c:ptCount val="3"/>
                <c:pt idx="0">
                  <c:v>12</c:v>
                </c:pt>
                <c:pt idx="1">
                  <c:v>12</c:v>
                </c:pt>
                <c:pt idx="2">
                  <c:v>13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Arkusz1!$A$8</c:f>
              <c:strCache>
                <c:ptCount val="1"/>
                <c:pt idx="0">
                  <c:v>mpzp – uchwalone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cat>
            <c:numRef>
              <c:f>Arkusz1!$B$2:$D$2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Arkusz1!$B$8:$D$8</c:f>
              <c:numCache>
                <c:formatCode>General</c:formatCode>
                <c:ptCount val="3"/>
                <c:pt idx="0">
                  <c:v>6</c:v>
                </c:pt>
                <c:pt idx="1">
                  <c:v>9</c:v>
                </c:pt>
                <c:pt idx="2">
                  <c:v>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1609728"/>
        <c:axId val="91615616"/>
      </c:lineChart>
      <c:catAx>
        <c:axId val="91609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91615616"/>
        <c:crosses val="autoZero"/>
        <c:auto val="1"/>
        <c:lblAlgn val="ctr"/>
        <c:lblOffset val="100"/>
        <c:noMultiLvlLbl val="0"/>
      </c:catAx>
      <c:valAx>
        <c:axId val="916156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1609728"/>
        <c:crosses val="autoZero"/>
        <c:crossBetween val="between"/>
      </c:valAx>
    </c:plotArea>
    <c:legend>
      <c:legendPos val="r"/>
      <c:overlay val="0"/>
      <c:spPr>
        <a:ln>
          <a:solidFill>
            <a:schemeClr val="accent1"/>
          </a:solidFill>
        </a:ln>
      </c:sp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2018-06-28T05:24:00Z</dcterms:created>
  <dcterms:modified xsi:type="dcterms:W3CDTF">2018-06-29T04:54:00Z</dcterms:modified>
</cp:coreProperties>
</file>